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BE719">
      <w:pPr>
        <w:rPr>
          <w:rFonts w:hint="eastAsia"/>
          <w:lang w:val="en-US" w:eastAsia="zh-CN"/>
        </w:rPr>
      </w:pPr>
      <w:r>
        <w:rPr>
          <w:rFonts w:hint="eastAsia"/>
          <w:lang w:val="en-US" w:eastAsia="zh-CN"/>
        </w:rPr>
        <w:t>分布式域名介绍</w:t>
      </w:r>
    </w:p>
    <w:p w14:paraId="3C2322B0">
      <w:pPr>
        <w:rPr>
          <w:rFonts w:hint="eastAsia"/>
          <w:lang w:val="en-US" w:eastAsia="zh-CN"/>
        </w:rPr>
      </w:pPr>
    </w:p>
    <w:p w14:paraId="072F947E">
      <w:pPr>
        <w:rPr>
          <w:rFonts w:hint="eastAsia"/>
          <w:lang w:val="en-US" w:eastAsia="zh-CN"/>
        </w:rPr>
      </w:pPr>
    </w:p>
    <w:p w14:paraId="5C6DA10B">
      <w:pPr>
        <w:numPr>
          <w:ilvl w:val="0"/>
          <w:numId w:val="1"/>
        </w:numPr>
        <w:rPr>
          <w:rFonts w:hint="eastAsia"/>
          <w:lang w:val="en-US" w:eastAsia="zh-CN"/>
        </w:rPr>
      </w:pPr>
      <w:r>
        <w:rPr>
          <w:rFonts w:hint="eastAsia"/>
          <w:lang w:val="en-US" w:eastAsia="zh-CN"/>
        </w:rPr>
        <w:t>全网分布式域名是可以部署在任何公有链、联盟链和私有链的统一域名体系，由BSN发展联盟推出，部署在BSN延安链上。</w:t>
      </w:r>
    </w:p>
    <w:p w14:paraId="760D7476">
      <w:pPr>
        <w:widowControl w:val="0"/>
        <w:numPr>
          <w:numId w:val="0"/>
        </w:numPr>
        <w:jc w:val="both"/>
        <w:rPr>
          <w:rFonts w:hint="default"/>
          <w:lang w:val="en-US" w:eastAsia="zh-CN"/>
        </w:rPr>
      </w:pPr>
    </w:p>
    <w:p w14:paraId="7B398C23">
      <w:pPr>
        <w:widowControl w:val="0"/>
        <w:numPr>
          <w:numId w:val="0"/>
        </w:numPr>
        <w:jc w:val="both"/>
        <w:rPr>
          <w:rFonts w:hint="default"/>
          <w:lang w:val="en-US" w:eastAsia="zh-CN"/>
        </w:rPr>
      </w:pPr>
      <w:r>
        <w:rPr>
          <w:rFonts w:hint="eastAsia"/>
          <w:lang w:val="en-US" w:eastAsia="zh-CN"/>
        </w:rPr>
        <w:t>2、</w:t>
      </w:r>
      <w:r>
        <w:rPr>
          <w:rFonts w:hint="default"/>
          <w:lang w:val="en-US" w:eastAsia="zh-CN"/>
        </w:rPr>
        <w:t>域名所有者有权在适配全网分布式域名体系的区块链上配置自己的域名到同一个链环境的任何合约、链账户、钱包地址或者DID标识上。</w:t>
      </w:r>
    </w:p>
    <w:p w14:paraId="668499A7">
      <w:pPr>
        <w:widowControl w:val="0"/>
        <w:numPr>
          <w:numId w:val="0"/>
        </w:numPr>
        <w:jc w:val="both"/>
        <w:rPr>
          <w:rFonts w:hint="default"/>
          <w:lang w:val="en-US" w:eastAsia="zh-CN"/>
        </w:rPr>
      </w:pPr>
    </w:p>
    <w:p w14:paraId="46745E92">
      <w:pPr>
        <w:widowControl w:val="0"/>
        <w:numPr>
          <w:numId w:val="0"/>
        </w:numPr>
        <w:ind w:leftChars="0"/>
        <w:jc w:val="both"/>
        <w:rPr>
          <w:rFonts w:hint="eastAsia"/>
          <w:lang w:val="en-US" w:eastAsia="zh-CN"/>
        </w:rPr>
      </w:pPr>
      <w:r>
        <w:rPr>
          <w:rFonts w:hint="eastAsia"/>
          <w:lang w:val="en-US" w:eastAsia="zh-CN"/>
        </w:rPr>
        <w:t>3、域名所有者拥有该域名在所有已适配区块链的绝对管理权，通过延安链的链账户和私钥进行配置管理。</w:t>
      </w:r>
    </w:p>
    <w:p w14:paraId="73293207">
      <w:pPr>
        <w:widowControl w:val="0"/>
        <w:numPr>
          <w:numId w:val="0"/>
        </w:numPr>
        <w:jc w:val="both"/>
        <w:rPr>
          <w:rFonts w:hint="default"/>
          <w:lang w:val="en-US" w:eastAsia="zh-CN"/>
        </w:rPr>
      </w:pPr>
    </w:p>
    <w:p w14:paraId="08EC6FFB">
      <w:pPr>
        <w:widowControl w:val="0"/>
        <w:numPr>
          <w:ilvl w:val="0"/>
          <w:numId w:val="2"/>
        </w:numPr>
        <w:jc w:val="both"/>
        <w:rPr>
          <w:rFonts w:hint="default"/>
          <w:lang w:val="en-US" w:eastAsia="zh-CN"/>
        </w:rPr>
      </w:pPr>
      <w:r>
        <w:rPr>
          <w:rFonts w:hint="default"/>
          <w:lang w:val="en-US" w:eastAsia="zh-CN"/>
        </w:rPr>
        <w:t>BSN延安链是一条权威官方应用治理链，专门用于提供来自权威机构并具有公共服务属性的分布式应用，由国家信息中心、公安部一所中盾安信、中国信通院云大所、中国移动集团设计院、BSN发展联盟等多家单位参与运营和管理。</w:t>
      </w:r>
    </w:p>
    <w:p w14:paraId="46B6C43F">
      <w:pPr>
        <w:widowControl w:val="0"/>
        <w:numPr>
          <w:numId w:val="0"/>
        </w:numPr>
        <w:jc w:val="both"/>
        <w:rPr>
          <w:rFonts w:hint="default"/>
          <w:lang w:val="en-US" w:eastAsia="zh-CN"/>
        </w:rPr>
      </w:pPr>
    </w:p>
    <w:p w14:paraId="37323A82">
      <w:pPr>
        <w:widowControl w:val="0"/>
        <w:numPr>
          <w:numId w:val="0"/>
        </w:numPr>
        <w:jc w:val="both"/>
      </w:pPr>
      <w:r>
        <w:drawing>
          <wp:inline distT="0" distB="0" distL="114300" distR="114300">
            <wp:extent cx="5271770" cy="1687195"/>
            <wp:effectExtent l="0" t="0" r="127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770" cy="1687195"/>
                    </a:xfrm>
                    <a:prstGeom prst="rect">
                      <a:avLst/>
                    </a:prstGeom>
                    <a:noFill/>
                    <a:ln>
                      <a:noFill/>
                    </a:ln>
                  </pic:spPr>
                </pic:pic>
              </a:graphicData>
            </a:graphic>
          </wp:inline>
        </w:drawing>
      </w:r>
    </w:p>
    <w:p w14:paraId="0BAF5BEB">
      <w:pPr>
        <w:widowControl w:val="0"/>
        <w:numPr>
          <w:numId w:val="0"/>
        </w:numPr>
        <w:jc w:val="both"/>
      </w:pPr>
    </w:p>
    <w:p w14:paraId="3A546E5F">
      <w:pPr>
        <w:widowControl w:val="0"/>
        <w:numPr>
          <w:numId w:val="0"/>
        </w:numPr>
        <w:jc w:val="both"/>
        <w:rPr>
          <w:rFonts w:hint="default"/>
          <w:lang w:val="en-US" w:eastAsia="zh-CN"/>
        </w:rPr>
      </w:pPr>
      <w:r>
        <w:rPr>
          <w:rFonts w:hint="default"/>
          <w:lang w:val="en-US" w:eastAsia="zh-CN"/>
        </w:rPr>
        <w:t>全网分布式域名是分布式技术体系的关键基础能力之一，也是构建互联网公共层的重要基石，其核心作用在于实现不同区块链环境与分布式应用之间的互通和互操作，以分布式域名为纽带，建立跨链、跨分布式应用的数据与价值连接，为构建跨链应用、实现通用跨链技术奠定基础。</w:t>
      </w:r>
    </w:p>
    <w:p w14:paraId="10F537BC">
      <w:pPr>
        <w:widowControl w:val="0"/>
        <w:numPr>
          <w:numId w:val="0"/>
        </w:numPr>
        <w:jc w:val="both"/>
        <w:rPr>
          <w:rFonts w:hint="default"/>
          <w:lang w:val="en-US" w:eastAsia="zh-CN"/>
        </w:rPr>
      </w:pPr>
    </w:p>
    <w:p w14:paraId="57E27C65">
      <w:pPr>
        <w:widowControl w:val="0"/>
        <w:numPr>
          <w:numId w:val="0"/>
        </w:numPr>
        <w:jc w:val="both"/>
        <w:rPr>
          <w:rFonts w:hint="default"/>
          <w:lang w:val="en-US" w:eastAsia="zh-CN"/>
        </w:rPr>
      </w:pPr>
      <w:r>
        <w:rPr>
          <w:rFonts w:hint="default"/>
          <w:lang w:val="en-US" w:eastAsia="zh-CN"/>
        </w:rPr>
        <w:t>全网分布式域名服务还可以与分布式实名认证、可信区块链运行监测服务等BSN延安链上的其它权威官方应用相结合，真正实现不同链上的数据、资产和身份的互认、互联、互通，为跨链业务办理以及未来的数字人民币支付等应用场景提供支撑，不断创造出新的商业模式与机会。</w:t>
      </w:r>
    </w:p>
    <w:p w14:paraId="309F15A0">
      <w:pPr>
        <w:widowControl w:val="0"/>
        <w:numPr>
          <w:numId w:val="0"/>
        </w:numPr>
        <w:jc w:val="both"/>
        <w:rPr>
          <w:rFonts w:hint="default"/>
          <w:lang w:val="en-US" w:eastAsia="zh-CN"/>
        </w:rPr>
      </w:pPr>
    </w:p>
    <w:p w14:paraId="60AE73D2">
      <w:pPr>
        <w:widowControl w:val="0"/>
        <w:numPr>
          <w:numId w:val="0"/>
        </w:numPr>
        <w:jc w:val="both"/>
        <w:rPr>
          <w:rFonts w:hint="default"/>
          <w:lang w:val="en-US" w:eastAsia="zh-CN"/>
        </w:rPr>
      </w:pPr>
      <w:r>
        <w:rPr>
          <w:rFonts w:hint="default"/>
          <w:lang w:val="en-US" w:eastAsia="zh-CN"/>
        </w:rPr>
        <w:t>全网分布式域名将会在促进分布式技术创新与产业变革，以及推动数字经济发展过程中发挥关键作用，其本身也因稀缺性具有很高的商业价值，在未来有着极为广阔的发展前景。</w:t>
      </w:r>
    </w:p>
    <w:p w14:paraId="736B4FE3">
      <w:pPr>
        <w:widowControl w:val="0"/>
        <w:numPr>
          <w:numId w:val="0"/>
        </w:numPr>
        <w:jc w:val="both"/>
        <w:rPr>
          <w:rFonts w:hint="default"/>
          <w:lang w:val="en-US" w:eastAsia="zh-CN"/>
        </w:rPr>
      </w:pPr>
    </w:p>
    <w:p w14:paraId="563E9D76">
      <w:pPr>
        <w:widowControl w:val="0"/>
        <w:numPr>
          <w:numId w:val="0"/>
        </w:numPr>
        <w:jc w:val="both"/>
      </w:pPr>
      <w:r>
        <w:drawing>
          <wp:inline distT="0" distB="0" distL="114300" distR="114300">
            <wp:extent cx="5264785" cy="2752090"/>
            <wp:effectExtent l="0" t="0" r="825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4785" cy="2752090"/>
                    </a:xfrm>
                    <a:prstGeom prst="rect">
                      <a:avLst/>
                    </a:prstGeom>
                    <a:noFill/>
                    <a:ln>
                      <a:noFill/>
                    </a:ln>
                  </pic:spPr>
                </pic:pic>
              </a:graphicData>
            </a:graphic>
          </wp:inline>
        </w:drawing>
      </w:r>
    </w:p>
    <w:p w14:paraId="53D9C826">
      <w:pPr>
        <w:widowControl w:val="0"/>
        <w:numPr>
          <w:ilvl w:val="0"/>
          <w:numId w:val="0"/>
        </w:numPr>
        <w:jc w:val="both"/>
        <w:rPr>
          <w:rFonts w:hint="eastAsia"/>
          <w:lang w:val="en-US" w:eastAsia="zh-CN"/>
        </w:rPr>
      </w:pPr>
    </w:p>
    <w:p w14:paraId="2DA16173">
      <w:pPr>
        <w:widowControl w:val="0"/>
        <w:numPr>
          <w:ilvl w:val="0"/>
          <w:numId w:val="0"/>
        </w:numPr>
        <w:jc w:val="both"/>
        <w:rPr>
          <w:rFonts w:hint="eastAsia"/>
          <w:lang w:val="en-US" w:eastAsia="zh-CN"/>
        </w:rPr>
      </w:pPr>
    </w:p>
    <w:p w14:paraId="08DA492E">
      <w:pPr>
        <w:widowControl w:val="0"/>
        <w:numPr>
          <w:ilvl w:val="0"/>
          <w:numId w:val="0"/>
        </w:numPr>
        <w:jc w:val="both"/>
        <w:rPr>
          <w:rFonts w:hint="eastAsia"/>
          <w:lang w:val="en-US" w:eastAsia="zh-CN"/>
        </w:rPr>
      </w:pPr>
      <w:r>
        <w:rPr>
          <w:rFonts w:hint="eastAsia"/>
          <w:lang w:val="en-US" w:eastAsia="zh-CN"/>
        </w:rPr>
        <w:t>延安链适配合约地址：0x09E203496aC27e5a8fd6CA68B3E88aFe24D68dC4</w:t>
      </w:r>
    </w:p>
    <w:p w14:paraId="5C529132">
      <w:pPr>
        <w:widowControl w:val="0"/>
        <w:numPr>
          <w:ilvl w:val="0"/>
          <w:numId w:val="0"/>
        </w:numPr>
        <w:jc w:val="both"/>
        <w:rPr>
          <w:rFonts w:hint="default"/>
          <w:lang w:val="en-US" w:eastAsia="zh-CN"/>
        </w:rPr>
      </w:pPr>
      <w:r>
        <w:rPr>
          <w:rFonts w:hint="eastAsia"/>
          <w:lang w:val="en-US" w:eastAsia="zh-CN"/>
        </w:rPr>
        <w:t>其他4条链适配合约地址：0xAC69Fc5DaEE0Ed733c0a3086849108B5D70DE712</w:t>
      </w:r>
    </w:p>
    <w:p w14:paraId="759D6AD4">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29FD6867">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7F14DC5D">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11CE8DFD">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6777F45E">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4648D6F8">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65FF8A19">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437E0D52">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79F7171F">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3FF36841">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02E33E87">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6B0F3358">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570F52E9">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07B9DD63">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7E36CD75">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37DCDB6C">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2A2B25B4">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786564FC">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099A8FDC">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1A717098">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32F6558C">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2788CABA">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58566ED4">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1CEB8A96">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0681134B">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163A0748">
      <w:pPr>
        <w:widowControl w:val="0"/>
        <w:numPr>
          <w:numId w:val="0"/>
        </w:numPr>
        <w:jc w:val="both"/>
        <w:rPr>
          <w:rFonts w:hint="default" w:ascii="Helvetica" w:hAnsi="Helvetica" w:eastAsia="Helvetica" w:cs="Helvetica"/>
          <w:i w:val="0"/>
          <w:iCs w:val="0"/>
          <w:caps w:val="0"/>
          <w:color w:val="606266"/>
          <w:spacing w:val="0"/>
          <w:sz w:val="16"/>
          <w:szCs w:val="16"/>
          <w:lang w:val="en-US" w:eastAsia="zh-CN"/>
        </w:rPr>
      </w:pPr>
    </w:p>
    <w:p w14:paraId="2BBF47AB">
      <w:pPr>
        <w:pStyle w:val="3"/>
        <w:keepNext w:val="0"/>
        <w:keepLines w:val="0"/>
        <w:widowControl/>
        <w:suppressLineNumbers w:val="0"/>
        <w:shd w:val="clear" w:fill="FFFFFF"/>
        <w:spacing w:before="0" w:beforeAutospacing="0" w:after="178" w:afterAutospacing="0"/>
        <w:ind w:left="0" w:firstLine="596" w:firstLineChars="200"/>
        <w:jc w:val="center"/>
        <w:rPr>
          <w:rFonts w:ascii="Helvetica" w:hAnsi="Helvetica" w:eastAsia="Helvetica" w:cs="Helvetica"/>
          <w:b/>
          <w:bCs/>
          <w:i w:val="0"/>
          <w:iCs w:val="0"/>
          <w:caps w:val="0"/>
          <w:color w:val="0099CC"/>
          <w:spacing w:val="2"/>
          <w:sz w:val="29"/>
          <w:szCs w:val="29"/>
          <w:shd w:val="clear" w:fill="FFFFFF"/>
        </w:rPr>
      </w:pPr>
      <w:r>
        <w:rPr>
          <w:rFonts w:ascii="Helvetica" w:hAnsi="Helvetica" w:eastAsia="Helvetica" w:cs="Helvetica"/>
          <w:b/>
          <w:bCs/>
          <w:i w:val="0"/>
          <w:iCs w:val="0"/>
          <w:caps w:val="0"/>
          <w:color w:val="0099CC"/>
          <w:spacing w:val="2"/>
          <w:sz w:val="29"/>
          <w:szCs w:val="29"/>
          <w:shd w:val="clear" w:fill="FFFFFF"/>
        </w:rPr>
        <w:t>1 资金账户</w:t>
      </w:r>
    </w:p>
    <w:p w14:paraId="129B9DF0">
      <w:pPr>
        <w:pStyle w:val="3"/>
        <w:keepNext w:val="0"/>
        <w:keepLines w:val="0"/>
        <w:widowControl/>
        <w:suppressLineNumbers w:val="0"/>
        <w:shd w:val="clear" w:fill="FFFFFF"/>
        <w:spacing w:before="0" w:beforeAutospacing="0" w:after="178" w:afterAutospacing="0"/>
        <w:ind w:left="0" w:firstLine="420" w:firstLineChars="200"/>
        <w:rPr>
          <w:rFonts w:hint="eastAsia"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您注册并登录官方门户后，可通过微信支付对资金账户余额进行充值。在域名注册、设置所有者操作过程中，将从您的资金账户余额内扣除相应费用。</w:t>
      </w:r>
    </w:p>
    <w:p w14:paraId="54A0B5DE">
      <w:pPr>
        <w:pStyle w:val="3"/>
        <w:keepNext w:val="0"/>
        <w:keepLines w:val="0"/>
        <w:widowControl/>
        <w:suppressLineNumbers w:val="0"/>
        <w:shd w:val="clear" w:fill="FFFFFF"/>
        <w:spacing w:before="0" w:beforeAutospacing="0" w:after="178" w:afterAutospacing="0"/>
        <w:ind w:left="0" w:firstLine="0"/>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  您可在官方门户对资金账户余额发起提现申请。我们客服人员在收到您的提现申请后将会与您联系，确认后将为您进行提现操作。</w:t>
      </w:r>
    </w:p>
    <w:p w14:paraId="5727BBD9">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651500" cy="1878965"/>
            <wp:effectExtent l="0" t="0" r="2540" b="1079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651500" cy="1878965"/>
                    </a:xfrm>
                    <a:prstGeom prst="rect">
                      <a:avLst/>
                    </a:prstGeom>
                    <a:noFill/>
                    <a:ln w="9525">
                      <a:noFill/>
                    </a:ln>
                  </pic:spPr>
                </pic:pic>
              </a:graphicData>
            </a:graphic>
          </wp:inline>
        </w:drawing>
      </w:r>
    </w:p>
    <w:p w14:paraId="0F6C081C">
      <w:pPr>
        <w:widowControl w:val="0"/>
        <w:numPr>
          <w:numId w:val="0"/>
        </w:numPr>
        <w:jc w:val="both"/>
        <w:rPr>
          <w:rFonts w:ascii="宋体" w:hAnsi="宋体" w:eastAsia="宋体" w:cs="宋体"/>
          <w:sz w:val="24"/>
          <w:szCs w:val="24"/>
        </w:rPr>
      </w:pPr>
    </w:p>
    <w:p w14:paraId="0907C466">
      <w:pPr>
        <w:widowControl w:val="0"/>
        <w:numPr>
          <w:numId w:val="0"/>
        </w:numPr>
        <w:jc w:val="both"/>
        <w:rPr>
          <w:rFonts w:ascii="宋体" w:hAnsi="宋体" w:eastAsia="宋体" w:cs="宋体"/>
          <w:sz w:val="24"/>
          <w:szCs w:val="24"/>
        </w:rPr>
      </w:pPr>
    </w:p>
    <w:p w14:paraId="2FFD5EF5">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2 注册域名</w:t>
      </w:r>
    </w:p>
    <w:p w14:paraId="7D2CA919">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  在官方门户的搜索框内输入您想要注册的域名前缀，根据搜索结果将其添加到购物车并完成付款。注册域名的官方价格按年收取，您可以在付款前选择1至10年的使用权。</w:t>
      </w:r>
    </w:p>
    <w:p w14:paraId="79D8E110">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  如果您已有一批心仪的域名想要注册，可以在【域名查询】页面内通过“批量注册”功能进行注册。批量注册需要您在官方门户的输入框内每行输入一个完整的域名，比如bsnbase.web3然后换行输入bsnbase.bsn。</w:t>
      </w:r>
    </w:p>
    <w:p w14:paraId="1AFE5C5B">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  您在官方门户下单付款后，我们会对您的域名进行审核，审核通过后您的域名才会最终完成注册（需要1个工作日）。</w:t>
      </w:r>
    </w:p>
    <w:p w14:paraId="48D98392">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366385" cy="2126615"/>
            <wp:effectExtent l="0" t="0" r="13335" b="698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tretch>
                      <a:fillRect/>
                    </a:stretch>
                  </pic:blipFill>
                  <pic:spPr>
                    <a:xfrm>
                      <a:off x="0" y="0"/>
                      <a:ext cx="5366385" cy="2126615"/>
                    </a:xfrm>
                    <a:prstGeom prst="rect">
                      <a:avLst/>
                    </a:prstGeom>
                    <a:noFill/>
                    <a:ln w="9525">
                      <a:noFill/>
                    </a:ln>
                  </pic:spPr>
                </pic:pic>
              </a:graphicData>
            </a:graphic>
          </wp:inline>
        </w:drawing>
      </w:r>
    </w:p>
    <w:p w14:paraId="339D051A">
      <w:pPr>
        <w:widowControl w:val="0"/>
        <w:numPr>
          <w:numId w:val="0"/>
        </w:numPr>
        <w:jc w:val="both"/>
        <w:rPr>
          <w:rFonts w:ascii="宋体" w:hAnsi="宋体" w:eastAsia="宋体" w:cs="宋体"/>
          <w:sz w:val="24"/>
          <w:szCs w:val="24"/>
        </w:rPr>
      </w:pPr>
    </w:p>
    <w:p w14:paraId="20E81AEE">
      <w:pPr>
        <w:widowControl w:val="0"/>
        <w:numPr>
          <w:numId w:val="0"/>
        </w:numPr>
        <w:jc w:val="both"/>
        <w:rPr>
          <w:rFonts w:ascii="宋体" w:hAnsi="宋体" w:eastAsia="宋体" w:cs="宋体"/>
          <w:sz w:val="24"/>
          <w:szCs w:val="24"/>
        </w:rPr>
      </w:pPr>
    </w:p>
    <w:p w14:paraId="3A2569B6">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3 查询域名基本信息</w:t>
      </w:r>
    </w:p>
    <w:p w14:paraId="35B73FF1">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  您完成了域名注册后，您的域名基本信息将会被开放查看，包括域名名称、域名状态、注册时间、到期时间、注册商。注册域名的过程中涉及到三种状态：</w:t>
      </w:r>
    </w:p>
    <w:p w14:paraId="08F24F4D">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注册中：下单付款到最终完成注册的这段时间内的状态。</w:t>
      </w:r>
    </w:p>
    <w:p w14:paraId="68DCB8D1">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注册成功：最终完成注册后的状态。</w:t>
      </w:r>
    </w:p>
    <w:p w14:paraId="28C2DD8F">
      <w:pPr>
        <w:pStyle w:val="3"/>
        <w:keepNext w:val="0"/>
        <w:keepLines w:val="0"/>
        <w:widowControl/>
        <w:suppressLineNumbers w:val="0"/>
        <w:shd w:val="clear" w:fill="FFFFFF"/>
        <w:spacing w:before="0" w:beforeAutospacing="0" w:after="178" w:afterAutospacing="0"/>
        <w:ind w:left="0" w:firstLine="0"/>
        <w:jc w:val="left"/>
      </w:pPr>
      <w:r>
        <w:rPr>
          <w:rFonts w:hint="default" w:asciiTheme="minorHAnsi" w:hAnsiTheme="minorHAnsi" w:eastAsiaTheme="minorEastAsia" w:cstheme="minorBidi"/>
          <w:kern w:val="2"/>
          <w:sz w:val="21"/>
          <w:szCs w:val="24"/>
          <w:lang w:val="en-US" w:eastAsia="zh-CN" w:bidi="ar-SA"/>
        </w:rPr>
        <w:t>注册失败：审核不通过或者系统异常导致的没有完成最终注册的状态。注册失败系统将向您的资金账户余额内退还您相应的金额。</w:t>
      </w:r>
    </w:p>
    <w:p w14:paraId="06D129AE">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8755" cy="2642870"/>
            <wp:effectExtent l="0" t="0" r="9525" b="889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5278755" cy="2642870"/>
                    </a:xfrm>
                    <a:prstGeom prst="rect">
                      <a:avLst/>
                    </a:prstGeom>
                    <a:noFill/>
                    <a:ln w="9525">
                      <a:noFill/>
                    </a:ln>
                  </pic:spPr>
                </pic:pic>
              </a:graphicData>
            </a:graphic>
          </wp:inline>
        </w:drawing>
      </w:r>
    </w:p>
    <w:p w14:paraId="3374986D">
      <w:pPr>
        <w:widowControl w:val="0"/>
        <w:numPr>
          <w:numId w:val="0"/>
        </w:numPr>
        <w:jc w:val="both"/>
        <w:rPr>
          <w:rFonts w:ascii="宋体" w:hAnsi="宋体" w:eastAsia="宋体" w:cs="宋体"/>
          <w:sz w:val="24"/>
          <w:szCs w:val="24"/>
        </w:rPr>
      </w:pPr>
    </w:p>
    <w:p w14:paraId="10A33380">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4 设置所有者</w:t>
      </w:r>
    </w:p>
    <w:p w14:paraId="141BCAB8">
      <w:pPr>
        <w:pStyle w:val="3"/>
        <w:keepNext w:val="0"/>
        <w:keepLines w:val="0"/>
        <w:widowControl/>
        <w:suppressLineNumbers w:val="0"/>
        <w:shd w:val="clear" w:fill="FFFFFF"/>
        <w:spacing w:before="0" w:beforeAutospacing="0" w:after="178" w:afterAutospacing="0"/>
        <w:ind w:left="0" w:firstLine="420" w:firstLineChars="200"/>
        <w:rPr>
          <w:rFonts w:hint="default" w:ascii="Helvetica" w:hAnsi="Helvetica" w:eastAsia="Helvetica" w:cs="Helvetica"/>
          <w:i w:val="0"/>
          <w:iCs w:val="0"/>
          <w:caps w:val="0"/>
          <w:color w:val="333333"/>
          <w:spacing w:val="2"/>
          <w:sz w:val="16"/>
          <w:szCs w:val="16"/>
        </w:rPr>
      </w:pPr>
      <w:r>
        <w:rPr>
          <w:rFonts w:hint="default" w:asciiTheme="minorHAnsi" w:hAnsiTheme="minorHAnsi" w:eastAsiaTheme="minorEastAsia" w:cstheme="minorBidi"/>
          <w:kern w:val="2"/>
          <w:sz w:val="21"/>
          <w:szCs w:val="24"/>
          <w:lang w:val="en-US" w:eastAsia="zh-CN" w:bidi="ar-SA"/>
        </w:rPr>
        <w:t>您完成了域名注册后，默认绑定您的官方门户登录账号，您可在登录官方门户后对该域名进行所有查询和管理操作。您也可以按需选择通过设置所有者的功能，将域名的所有者和您的BSN延安链链账户进行关联，操作前请您一定参见</w:t>
      </w:r>
      <w:r>
        <w:rPr>
          <w:rFonts w:hint="default" w:asciiTheme="minorHAnsi" w:hAnsiTheme="minorHAnsi" w:eastAsiaTheme="minorEastAsia" w:cstheme="minorBidi"/>
          <w:kern w:val="2"/>
          <w:sz w:val="21"/>
          <w:szCs w:val="24"/>
          <w:lang w:val="en-US" w:eastAsia="zh-CN" w:bidi="ar-SA"/>
        </w:rPr>
        <w:fldChar w:fldCharType="begin"/>
      </w:r>
      <w:r>
        <w:rPr>
          <w:rFonts w:hint="default" w:asciiTheme="minorHAnsi" w:hAnsiTheme="minorHAnsi" w:eastAsiaTheme="minorEastAsia" w:cstheme="minorBidi"/>
          <w:kern w:val="2"/>
          <w:sz w:val="21"/>
          <w:szCs w:val="24"/>
          <w:lang w:val="en-US" w:eastAsia="zh-CN" w:bidi="ar-SA"/>
        </w:rPr>
        <w:instrText xml:space="preserve"> HYPERLINK "https://ddc.bsnbase.com/yanan/book/index.html" \t "https://dns.bsnbase.com/static/tmpFile/bzsc/03FunctionIntroduction/_blank" </w:instrText>
      </w:r>
      <w:r>
        <w:rPr>
          <w:rFonts w:hint="default" w:asciiTheme="minorHAnsi" w:hAnsiTheme="minorHAnsi" w:eastAsiaTheme="minorEastAsia" w:cstheme="minorBidi"/>
          <w:kern w:val="2"/>
          <w:sz w:val="21"/>
          <w:szCs w:val="24"/>
          <w:lang w:val="en-US" w:eastAsia="zh-CN" w:bidi="ar-SA"/>
        </w:rPr>
        <w:fldChar w:fldCharType="separate"/>
      </w:r>
      <w:r>
        <w:rPr>
          <w:rFonts w:hint="default" w:asciiTheme="minorHAnsi" w:hAnsiTheme="minorHAnsi" w:eastAsiaTheme="minorEastAsia" w:cstheme="minorBidi"/>
          <w:kern w:val="2"/>
          <w:sz w:val="21"/>
          <w:szCs w:val="24"/>
          <w:lang w:val="en-US" w:eastAsia="zh-CN" w:bidi="ar-SA"/>
        </w:rPr>
        <w:t>BSN延安链使用手册</w:t>
      </w:r>
      <w:r>
        <w:rPr>
          <w:rFonts w:hint="default" w:asciiTheme="minorHAnsi" w:hAnsiTheme="minorHAnsi" w:eastAsiaTheme="minorEastAsia" w:cstheme="minorBidi"/>
          <w:kern w:val="2"/>
          <w:sz w:val="21"/>
          <w:szCs w:val="24"/>
          <w:lang w:val="en-US" w:eastAsia="zh-CN" w:bidi="ar-SA"/>
        </w:rPr>
        <w:fldChar w:fldCharType="end"/>
      </w:r>
      <w:r>
        <w:rPr>
          <w:rFonts w:hint="default" w:asciiTheme="minorHAnsi" w:hAnsiTheme="minorHAnsi" w:eastAsiaTheme="minorEastAsia" w:cstheme="minorBidi"/>
          <w:kern w:val="2"/>
          <w:sz w:val="21"/>
          <w:szCs w:val="24"/>
          <w:lang w:val="en-US" w:eastAsia="zh-CN" w:bidi="ar-SA"/>
        </w:rPr>
        <w:t>生成BSN延安链的链账户地址，妥善保存管理对应的私钥防止丢失或泄漏，确保后续您对该域名可进行管理操作。</w:t>
      </w:r>
    </w:p>
    <w:p w14:paraId="0F86FB95">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121910" cy="2038350"/>
            <wp:effectExtent l="0" t="0" r="13970" b="381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5121910" cy="2038350"/>
                    </a:xfrm>
                    <a:prstGeom prst="rect">
                      <a:avLst/>
                    </a:prstGeom>
                    <a:noFill/>
                    <a:ln w="9525">
                      <a:noFill/>
                    </a:ln>
                  </pic:spPr>
                </pic:pic>
              </a:graphicData>
            </a:graphic>
          </wp:inline>
        </w:drawing>
      </w:r>
    </w:p>
    <w:p w14:paraId="183229CA">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5 转让所有权</w:t>
      </w:r>
    </w:p>
    <w:p w14:paraId="4FD4A445">
      <w:pPr>
        <w:pStyle w:val="3"/>
        <w:keepNext w:val="0"/>
        <w:keepLines w:val="0"/>
        <w:widowControl/>
        <w:suppressLineNumbers w:val="0"/>
        <w:shd w:val="clear" w:fill="FFFFFF"/>
        <w:spacing w:before="0" w:beforeAutospacing="0" w:after="178" w:afterAutospacing="0"/>
        <w:ind w:left="0" w:firstLine="0"/>
        <w:rPr>
          <w:rFonts w:hint="default" w:asciiTheme="minorHAnsi" w:hAnsiTheme="minorHAnsi" w:eastAsiaTheme="minorEastAsia" w:cstheme="minorBidi"/>
          <w:kern w:val="2"/>
          <w:sz w:val="21"/>
          <w:szCs w:val="24"/>
          <w:lang w:val="en-US" w:eastAsia="zh-CN" w:bidi="ar-SA"/>
        </w:rPr>
      </w:pPr>
      <w:r>
        <w:rPr>
          <w:rFonts w:hint="default" w:ascii="Helvetica" w:hAnsi="Helvetica" w:eastAsia="Helvetica" w:cs="Helvetica"/>
          <w:i w:val="0"/>
          <w:iCs w:val="0"/>
          <w:caps w:val="0"/>
          <w:color w:val="333333"/>
          <w:spacing w:val="2"/>
          <w:sz w:val="16"/>
          <w:szCs w:val="16"/>
          <w:shd w:val="clear" w:fill="FFFFFF"/>
        </w:rPr>
        <w:t> </w:t>
      </w:r>
      <w:r>
        <w:rPr>
          <w:rFonts w:hint="default" w:asciiTheme="minorHAnsi" w:hAnsiTheme="minorHAnsi" w:eastAsiaTheme="minorEastAsia" w:cstheme="minorBidi"/>
          <w:kern w:val="2"/>
          <w:sz w:val="21"/>
          <w:szCs w:val="24"/>
          <w:lang w:val="en-US" w:eastAsia="zh-CN" w:bidi="ar-SA"/>
        </w:rPr>
        <w:t> 您完成了域名注册后，域名所有权会默认绑定您的官方门户账号，您也可以按需选择通过转让所有权的功能，对域名进行官方门户已注册账号间的所有权转让，转让并不会变更您的域名配置信息。域名所有权转让成功后，对方账号将拥有该域名的管理权限，该操作不可撤回，建议您谨慎操作。</w:t>
      </w:r>
    </w:p>
    <w:p w14:paraId="4383B6A7">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357495" cy="2642235"/>
            <wp:effectExtent l="0" t="0" r="698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5357495" cy="2642235"/>
                    </a:xfrm>
                    <a:prstGeom prst="rect">
                      <a:avLst/>
                    </a:prstGeom>
                    <a:noFill/>
                    <a:ln w="9525">
                      <a:noFill/>
                    </a:ln>
                  </pic:spPr>
                </pic:pic>
              </a:graphicData>
            </a:graphic>
          </wp:inline>
        </w:drawing>
      </w:r>
    </w:p>
    <w:p w14:paraId="53B237A6">
      <w:pPr>
        <w:widowControl w:val="0"/>
        <w:numPr>
          <w:numId w:val="0"/>
        </w:numPr>
        <w:jc w:val="both"/>
        <w:rPr>
          <w:rFonts w:ascii="宋体" w:hAnsi="宋体" w:eastAsia="宋体" w:cs="宋体"/>
          <w:sz w:val="24"/>
          <w:szCs w:val="24"/>
        </w:rPr>
      </w:pPr>
    </w:p>
    <w:p w14:paraId="51FB4AEA">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6 设置解析记录</w:t>
      </w:r>
    </w:p>
    <w:p w14:paraId="4386BE96">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完成了域名注册后，可以按需为该域名设置解析记录。官方门户目前支持链账户地址和文本这两种类型的解析记录，其中链账户地址必须是0x开头的42位长度(字节)的Hex码数据，比如：0x35BF533e6d8A6BC77fd5d970304d13601a94B459；官方门户默认的文本信息是“DID标识符”，您可参阅</w:t>
      </w:r>
      <w:r>
        <w:rPr>
          <w:rFonts w:hint="default" w:asciiTheme="minorHAnsi" w:hAnsiTheme="minorHAnsi" w:eastAsiaTheme="minorEastAsia" w:cstheme="minorBidi"/>
          <w:kern w:val="2"/>
          <w:sz w:val="21"/>
          <w:szCs w:val="24"/>
          <w:lang w:val="en-US" w:eastAsia="zh-CN" w:bidi="ar-SA"/>
        </w:rPr>
        <w:fldChar w:fldCharType="begin"/>
      </w:r>
      <w:r>
        <w:rPr>
          <w:rFonts w:hint="default" w:asciiTheme="minorHAnsi" w:hAnsiTheme="minorHAnsi" w:eastAsiaTheme="minorEastAsia" w:cstheme="minorBidi"/>
          <w:kern w:val="2"/>
          <w:sz w:val="21"/>
          <w:szCs w:val="24"/>
          <w:lang w:val="en-US" w:eastAsia="zh-CN" w:bidi="ar-SA"/>
        </w:rPr>
        <w:instrText xml:space="preserve"> HYPERLINK "https://w3c.github.io/did-use-cases/" \t "https://dns.bsnbase.com/static/tmpFile/bzsc/03FunctionIntroduction/_blank" </w:instrText>
      </w:r>
      <w:r>
        <w:rPr>
          <w:rFonts w:hint="default" w:asciiTheme="minorHAnsi" w:hAnsiTheme="minorHAnsi" w:eastAsiaTheme="minorEastAsia" w:cstheme="minorBidi"/>
          <w:kern w:val="2"/>
          <w:sz w:val="21"/>
          <w:szCs w:val="24"/>
          <w:lang w:val="en-US" w:eastAsia="zh-CN" w:bidi="ar-SA"/>
        </w:rPr>
        <w:fldChar w:fldCharType="separate"/>
      </w:r>
      <w:r>
        <w:rPr>
          <w:rFonts w:hint="default" w:asciiTheme="minorHAnsi" w:hAnsiTheme="minorHAnsi" w:eastAsiaTheme="minorEastAsia" w:cstheme="minorBidi"/>
          <w:kern w:val="2"/>
          <w:sz w:val="21"/>
          <w:szCs w:val="24"/>
          <w:lang w:val="en-US" w:eastAsia="zh-CN" w:bidi="ar-SA"/>
        </w:rPr>
        <w:t>w3c</w:t>
      </w:r>
      <w:r>
        <w:rPr>
          <w:rFonts w:hint="default" w:asciiTheme="minorHAnsi" w:hAnsiTheme="minorHAnsi" w:eastAsiaTheme="minorEastAsia" w:cstheme="minorBidi"/>
          <w:kern w:val="2"/>
          <w:sz w:val="21"/>
          <w:szCs w:val="24"/>
          <w:lang w:val="en-US" w:eastAsia="zh-CN" w:bidi="ar-SA"/>
        </w:rPr>
        <w:fldChar w:fldCharType="end"/>
      </w:r>
      <w:r>
        <w:rPr>
          <w:rFonts w:hint="default" w:asciiTheme="minorHAnsi" w:hAnsiTheme="minorHAnsi" w:eastAsiaTheme="minorEastAsia" w:cstheme="minorBidi"/>
          <w:kern w:val="2"/>
          <w:sz w:val="21"/>
          <w:szCs w:val="24"/>
          <w:lang w:val="en-US" w:eastAsia="zh-CN" w:bidi="ar-SA"/>
        </w:rPr>
        <w:t>关于DID的介绍或者</w:t>
      </w:r>
      <w:r>
        <w:rPr>
          <w:rFonts w:hint="default" w:asciiTheme="minorHAnsi" w:hAnsiTheme="minorHAnsi" w:eastAsiaTheme="minorEastAsia" w:cstheme="minorBidi"/>
          <w:kern w:val="2"/>
          <w:sz w:val="21"/>
          <w:szCs w:val="24"/>
          <w:lang w:val="en-US" w:eastAsia="zh-CN" w:bidi="ar-SA"/>
        </w:rPr>
        <w:fldChar w:fldCharType="begin"/>
      </w:r>
      <w:r>
        <w:rPr>
          <w:rFonts w:hint="default" w:asciiTheme="minorHAnsi" w:hAnsiTheme="minorHAnsi" w:eastAsiaTheme="minorEastAsia" w:cstheme="minorBidi"/>
          <w:kern w:val="2"/>
          <w:sz w:val="21"/>
          <w:szCs w:val="24"/>
          <w:lang w:val="en-US" w:eastAsia="zh-CN" w:bidi="ar-SA"/>
        </w:rPr>
        <w:instrText xml:space="preserve"> HYPERLINK "https://zhuanwang.bsnbase.com/static/tmpFile/bzsc/did/17-1.html" \t "https://dns.bsnbase.com/static/tmpFile/bzsc/03FunctionIntroduction/_blank" </w:instrText>
      </w:r>
      <w:r>
        <w:rPr>
          <w:rFonts w:hint="default" w:asciiTheme="minorHAnsi" w:hAnsiTheme="minorHAnsi" w:eastAsiaTheme="minorEastAsia" w:cstheme="minorBidi"/>
          <w:kern w:val="2"/>
          <w:sz w:val="21"/>
          <w:szCs w:val="24"/>
          <w:lang w:val="en-US" w:eastAsia="zh-CN" w:bidi="ar-SA"/>
        </w:rPr>
        <w:fldChar w:fldCharType="separate"/>
      </w:r>
      <w:r>
        <w:rPr>
          <w:rFonts w:hint="default" w:asciiTheme="minorHAnsi" w:hAnsiTheme="minorHAnsi" w:eastAsiaTheme="minorEastAsia" w:cstheme="minorBidi"/>
          <w:kern w:val="2"/>
          <w:sz w:val="21"/>
          <w:szCs w:val="24"/>
          <w:lang w:val="en-US" w:eastAsia="zh-CN" w:bidi="ar-SA"/>
        </w:rPr>
        <w:t>BSN DID</w:t>
      </w:r>
      <w:r>
        <w:rPr>
          <w:rFonts w:hint="default" w:asciiTheme="minorHAnsi" w:hAnsiTheme="minorHAnsi" w:eastAsiaTheme="minorEastAsia" w:cstheme="minorBidi"/>
          <w:kern w:val="2"/>
          <w:sz w:val="21"/>
          <w:szCs w:val="24"/>
          <w:lang w:val="en-US" w:eastAsia="zh-CN" w:bidi="ar-SA"/>
        </w:rPr>
        <w:fldChar w:fldCharType="end"/>
      </w:r>
      <w:r>
        <w:rPr>
          <w:rFonts w:hint="default" w:asciiTheme="minorHAnsi" w:hAnsiTheme="minorHAnsi" w:eastAsiaTheme="minorEastAsia" w:cstheme="minorBidi"/>
          <w:kern w:val="2"/>
          <w:sz w:val="21"/>
          <w:szCs w:val="24"/>
          <w:lang w:val="en-US" w:eastAsia="zh-CN" w:bidi="ar-SA"/>
        </w:rPr>
        <w:t>的介绍进行了解。此外官方门户还支持您自定义两个文本信息。</w:t>
      </w:r>
    </w:p>
    <w:p w14:paraId="4F1D7364">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  您在登录官方门户后可查看和更新解析记录，我们将以您在当天最后一次提交的更新记录为准，向官方门户已适配的各个底链提交您的解析记录。</w:t>
      </w:r>
    </w:p>
    <w:p w14:paraId="101836B4">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262245" cy="2173605"/>
            <wp:effectExtent l="0" t="0" r="10795" b="571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5262245" cy="2173605"/>
                    </a:xfrm>
                    <a:prstGeom prst="rect">
                      <a:avLst/>
                    </a:prstGeom>
                    <a:noFill/>
                    <a:ln w="9525">
                      <a:noFill/>
                    </a:ln>
                  </pic:spPr>
                </pic:pic>
              </a:graphicData>
            </a:graphic>
          </wp:inline>
        </w:drawing>
      </w:r>
    </w:p>
    <w:p w14:paraId="16E589CA">
      <w:pPr>
        <w:widowControl w:val="0"/>
        <w:numPr>
          <w:numId w:val="0"/>
        </w:numPr>
        <w:jc w:val="both"/>
        <w:rPr>
          <w:rFonts w:ascii="宋体" w:hAnsi="宋体" w:eastAsia="宋体" w:cs="宋体"/>
          <w:sz w:val="24"/>
          <w:szCs w:val="24"/>
        </w:rPr>
      </w:pPr>
    </w:p>
    <w:p w14:paraId="2148CCE8">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7 设置管理者</w:t>
      </w:r>
    </w:p>
    <w:p w14:paraId="0CA9F054">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完成了域名注册后，可以按需为该域名在官方门户已适配的各个底链添加一个该链的链账户地址，然后您可通过这个链账户对该链的解析记录进行更新操作。目前我们暂未提供直接访问底链设置解析记录的方法，如有需要敬请关注我们后续的迭代公告。</w:t>
      </w:r>
    </w:p>
    <w:p w14:paraId="50576850">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384165" cy="2117090"/>
            <wp:effectExtent l="0" t="0" r="10795" b="127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5384165" cy="2117090"/>
                    </a:xfrm>
                    <a:prstGeom prst="rect">
                      <a:avLst/>
                    </a:prstGeom>
                    <a:noFill/>
                    <a:ln w="9525">
                      <a:noFill/>
                    </a:ln>
                  </pic:spPr>
                </pic:pic>
              </a:graphicData>
            </a:graphic>
          </wp:inline>
        </w:drawing>
      </w:r>
    </w:p>
    <w:p w14:paraId="39576DAA">
      <w:pPr>
        <w:widowControl w:val="0"/>
        <w:numPr>
          <w:numId w:val="0"/>
        </w:numPr>
        <w:jc w:val="both"/>
        <w:rPr>
          <w:rFonts w:ascii="宋体" w:hAnsi="宋体" w:eastAsia="宋体" w:cs="宋体"/>
          <w:sz w:val="24"/>
          <w:szCs w:val="24"/>
        </w:rPr>
      </w:pPr>
    </w:p>
    <w:p w14:paraId="25A7B1D3">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8 多链同步</w:t>
      </w:r>
    </w:p>
    <w:p w14:paraId="426EA2D2">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  您完成了域名注册后， 可以按需将域名上链到各个已适配的底链，同步后您可以在不同底链上对域名进行管理操作。</w:t>
      </w:r>
    </w:p>
    <w:p w14:paraId="309A0D20">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可以在控制台的【域名管理-多链同步】页面点击“配置”按钮进行多链同步。您需要确认域名同步信息，并选择目标链，然后支付所需费用后即可完成多链同步操作。您可以按需选择任意目标链多次同步域名信息。</w:t>
      </w:r>
    </w:p>
    <w:p w14:paraId="490515AF">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010785" cy="2060575"/>
            <wp:effectExtent l="0" t="0" r="3175" b="1206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tretch>
                      <a:fillRect/>
                    </a:stretch>
                  </pic:blipFill>
                  <pic:spPr>
                    <a:xfrm>
                      <a:off x="0" y="0"/>
                      <a:ext cx="5010785" cy="2060575"/>
                    </a:xfrm>
                    <a:prstGeom prst="rect">
                      <a:avLst/>
                    </a:prstGeom>
                    <a:noFill/>
                    <a:ln w="9525">
                      <a:noFill/>
                    </a:ln>
                  </pic:spPr>
                </pic:pic>
              </a:graphicData>
            </a:graphic>
          </wp:inline>
        </w:drawing>
      </w:r>
    </w:p>
    <w:p w14:paraId="461766D2">
      <w:pPr>
        <w:widowControl w:val="0"/>
        <w:numPr>
          <w:numId w:val="0"/>
        </w:numPr>
        <w:jc w:val="both"/>
        <w:rPr>
          <w:rFonts w:ascii="宋体" w:hAnsi="宋体" w:eastAsia="宋体" w:cs="宋体"/>
          <w:sz w:val="24"/>
          <w:szCs w:val="24"/>
        </w:rPr>
      </w:pPr>
    </w:p>
    <w:p w14:paraId="2F1D2E2A">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233670" cy="2574290"/>
            <wp:effectExtent l="0" t="0" r="8890" b="127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4"/>
                    <a:stretch>
                      <a:fillRect/>
                    </a:stretch>
                  </pic:blipFill>
                  <pic:spPr>
                    <a:xfrm>
                      <a:off x="0" y="0"/>
                      <a:ext cx="5233670" cy="2574290"/>
                    </a:xfrm>
                    <a:prstGeom prst="rect">
                      <a:avLst/>
                    </a:prstGeom>
                    <a:noFill/>
                    <a:ln w="9525">
                      <a:noFill/>
                    </a:ln>
                  </pic:spPr>
                </pic:pic>
              </a:graphicData>
            </a:graphic>
          </wp:inline>
        </w:drawing>
      </w:r>
    </w:p>
    <w:p w14:paraId="58C79BE5">
      <w:pPr>
        <w:widowControl w:val="0"/>
        <w:numPr>
          <w:numId w:val="0"/>
        </w:numPr>
        <w:jc w:val="both"/>
        <w:rPr>
          <w:rFonts w:ascii="宋体" w:hAnsi="宋体" w:eastAsia="宋体" w:cs="宋体"/>
          <w:sz w:val="24"/>
          <w:szCs w:val="24"/>
        </w:rPr>
      </w:pPr>
    </w:p>
    <w:p w14:paraId="190846A6">
      <w:pPr>
        <w:widowControl w:val="0"/>
        <w:numPr>
          <w:numId w:val="0"/>
        </w:numPr>
        <w:jc w:val="both"/>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您进行了多链同步后，可以在控制台的【域名管理-多链同步】页面点击“配置”按钮，在页面底部查看多链同步的记录，点击“详情”按钮查看交易哈希和同步信息。</w:t>
      </w:r>
    </w:p>
    <w:p w14:paraId="6E76B5FB">
      <w:pPr>
        <w:widowControl w:val="0"/>
        <w:numPr>
          <w:numId w:val="0"/>
        </w:numPr>
        <w:jc w:val="both"/>
        <w:rPr>
          <w:rFonts w:hint="default" w:asciiTheme="minorHAnsi" w:hAnsiTheme="minorHAnsi" w:eastAsiaTheme="minorEastAsia" w:cstheme="minorBidi"/>
          <w:kern w:val="2"/>
          <w:sz w:val="21"/>
          <w:szCs w:val="24"/>
          <w:lang w:val="en-US" w:eastAsia="zh-CN" w:bidi="ar-SA"/>
        </w:rPr>
      </w:pPr>
    </w:p>
    <w:p w14:paraId="359311F8">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234940" cy="2548255"/>
            <wp:effectExtent l="0" t="0" r="7620" b="1206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5"/>
                    <a:stretch>
                      <a:fillRect/>
                    </a:stretch>
                  </pic:blipFill>
                  <pic:spPr>
                    <a:xfrm>
                      <a:off x="0" y="0"/>
                      <a:ext cx="5234940" cy="2548255"/>
                    </a:xfrm>
                    <a:prstGeom prst="rect">
                      <a:avLst/>
                    </a:prstGeom>
                    <a:noFill/>
                    <a:ln w="9525">
                      <a:noFill/>
                    </a:ln>
                  </pic:spPr>
                </pic:pic>
              </a:graphicData>
            </a:graphic>
          </wp:inline>
        </w:drawing>
      </w:r>
    </w:p>
    <w:p w14:paraId="0CF31320">
      <w:pPr>
        <w:widowControl w:val="0"/>
        <w:numPr>
          <w:numId w:val="0"/>
        </w:numPr>
        <w:jc w:val="both"/>
        <w:rPr>
          <w:rFonts w:ascii="宋体" w:hAnsi="宋体" w:eastAsia="宋体" w:cs="宋体"/>
          <w:sz w:val="24"/>
          <w:szCs w:val="24"/>
        </w:rPr>
      </w:pPr>
    </w:p>
    <w:p w14:paraId="7EB3D231">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9 我的链账户</w:t>
      </w:r>
    </w:p>
    <w:p w14:paraId="0EFD3654">
      <w:pPr>
        <w:pStyle w:val="3"/>
        <w:keepNext w:val="0"/>
        <w:keepLines w:val="0"/>
        <w:widowControl/>
        <w:suppressLineNumbers w:val="0"/>
        <w:shd w:val="clear" w:fill="FFFFFF"/>
        <w:spacing w:before="0" w:beforeAutospacing="0" w:after="178" w:afterAutospacing="0"/>
        <w:ind w:left="0" w:firstLine="0"/>
        <w:rPr>
          <w:rFonts w:hint="default" w:asciiTheme="minorHAnsi" w:hAnsiTheme="minorHAnsi" w:eastAsiaTheme="minorEastAsia" w:cstheme="minorBidi"/>
          <w:kern w:val="2"/>
          <w:sz w:val="21"/>
          <w:szCs w:val="24"/>
          <w:lang w:val="en-US" w:eastAsia="zh-CN" w:bidi="ar-SA"/>
        </w:rPr>
      </w:pPr>
      <w:r>
        <w:rPr>
          <w:rFonts w:hint="default" w:ascii="Helvetica" w:hAnsi="Helvetica" w:eastAsia="Helvetica" w:cs="Helvetica"/>
          <w:i w:val="0"/>
          <w:iCs w:val="0"/>
          <w:caps w:val="0"/>
          <w:color w:val="333333"/>
          <w:spacing w:val="2"/>
          <w:sz w:val="16"/>
          <w:szCs w:val="16"/>
          <w:shd w:val="clear" w:fill="FFFFFF"/>
        </w:rPr>
        <w:t>  </w:t>
      </w:r>
      <w:r>
        <w:rPr>
          <w:rFonts w:hint="default" w:asciiTheme="minorHAnsi" w:hAnsiTheme="minorHAnsi" w:eastAsiaTheme="minorEastAsia" w:cstheme="minorBidi"/>
          <w:kern w:val="2"/>
          <w:sz w:val="21"/>
          <w:szCs w:val="24"/>
          <w:lang w:val="en-US" w:eastAsia="zh-CN" w:bidi="ar-SA"/>
        </w:rPr>
        <w:t>您完成了域名注册后，可以按需为域名的所有者和管理者生成链账户，官方门户支持为已适配的各个底链生成链账户。目前我们提供自动生成公私钥对（非托管）的链账户生成方式。</w:t>
      </w:r>
    </w:p>
    <w:p w14:paraId="13888B77">
      <w:pPr>
        <w:pStyle w:val="3"/>
        <w:keepNext w:val="0"/>
        <w:keepLines w:val="0"/>
        <w:widowControl/>
        <w:suppressLineNumbers w:val="0"/>
        <w:shd w:val="clear" w:fill="FFFFFF"/>
        <w:spacing w:before="0" w:beforeAutospacing="0" w:after="178" w:afterAutospacing="0"/>
        <w:ind w:left="0" w:firstLine="0"/>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可以在【我的链账户】页面点击“一键生成”按钮来生成所需的链账户，并查看已生成的链账户列表，包括链名称、链账户地址、生成时间及备注。在生成链账户时，系统将自动下载公私钥到您的本地设备，平台不会对您的公私钥进行托管。请务必妥善保管链账户相关的公私钥信息，避免因私钥丢失或泄露等问题而导致无法管理域名的情况。</w:t>
      </w:r>
    </w:p>
    <w:p w14:paraId="628E4DEF">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8755" cy="1980565"/>
            <wp:effectExtent l="0" t="0" r="9525" b="63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6"/>
                    <a:stretch>
                      <a:fillRect/>
                    </a:stretch>
                  </pic:blipFill>
                  <pic:spPr>
                    <a:xfrm>
                      <a:off x="0" y="0"/>
                      <a:ext cx="5278755" cy="1980565"/>
                    </a:xfrm>
                    <a:prstGeom prst="rect">
                      <a:avLst/>
                    </a:prstGeom>
                    <a:noFill/>
                    <a:ln w="9525">
                      <a:noFill/>
                    </a:ln>
                  </pic:spPr>
                </pic:pic>
              </a:graphicData>
            </a:graphic>
          </wp:inline>
        </w:drawing>
      </w:r>
    </w:p>
    <w:p w14:paraId="3C174AE4">
      <w:pPr>
        <w:widowControl w:val="0"/>
        <w:numPr>
          <w:numId w:val="0"/>
        </w:numPr>
        <w:jc w:val="both"/>
        <w:rPr>
          <w:rFonts w:ascii="宋体" w:hAnsi="宋体" w:eastAsia="宋体" w:cs="宋体"/>
          <w:sz w:val="24"/>
          <w:szCs w:val="24"/>
        </w:rPr>
      </w:pPr>
    </w:p>
    <w:p w14:paraId="5F5DBF87">
      <w:pPr>
        <w:widowControl w:val="0"/>
        <w:numPr>
          <w:numId w:val="0"/>
        </w:numPr>
        <w:jc w:val="both"/>
        <w:rPr>
          <w:rFonts w:ascii="宋体" w:hAnsi="宋体" w:eastAsia="宋体" w:cs="宋体"/>
          <w:sz w:val="24"/>
          <w:szCs w:val="24"/>
        </w:rPr>
      </w:pPr>
    </w:p>
    <w:p w14:paraId="7CCF21B7">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10 我的优惠券</w:t>
      </w:r>
    </w:p>
    <w:p w14:paraId="6C4F9793">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  优惠券由官方合作的推广商发放，获得优惠券后，您可以在注册域名时享受优惠。目前官方门户支持代金券、折扣券的领取和使用。</w:t>
      </w:r>
    </w:p>
    <w:p w14:paraId="3C515792">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代金券是可抵扣域名注册费用的优惠券，折扣券根据折扣比例对域名注册订单基于刊例价打折。每张优惠券可作用于单个域名的注册，根据域名的首年或多年总价作为优惠金额上限，且不可叠加使用。如您主动注销域名，注册时使用的优惠券（代金券/折扣券）不予以退还。</w:t>
      </w:r>
    </w:p>
    <w:p w14:paraId="29F5F9D9">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  【如何领取】</w:t>
      </w:r>
    </w:p>
    <w:p w14:paraId="3232BB34">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您可通过推广商发送的优惠券二维码或优惠券领取链接，注册并登录官方门户，点击“立即领取”按钮，领取推广商当前发放的域名注册优惠券。您也可点击“分享好友”按钮，在弹出的窗口中选择不同的分享方式，快速将优惠券分享给其他好友。</w:t>
      </w:r>
    </w:p>
    <w:p w14:paraId="27EB86DD">
      <w:pPr>
        <w:widowControl w:val="0"/>
        <w:numPr>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696210" cy="4722495"/>
            <wp:effectExtent l="0" t="0" r="1270" b="190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7"/>
                    <a:stretch>
                      <a:fillRect/>
                    </a:stretch>
                  </pic:blipFill>
                  <pic:spPr>
                    <a:xfrm>
                      <a:off x="0" y="0"/>
                      <a:ext cx="2696210" cy="4722495"/>
                    </a:xfrm>
                    <a:prstGeom prst="rect">
                      <a:avLst/>
                    </a:prstGeom>
                    <a:noFill/>
                    <a:ln w="9525">
                      <a:noFill/>
                    </a:ln>
                  </pic:spPr>
                </pic:pic>
              </a:graphicData>
            </a:graphic>
          </wp:inline>
        </w:drawing>
      </w:r>
    </w:p>
    <w:p w14:paraId="4D51934B">
      <w:pPr>
        <w:widowControl w:val="0"/>
        <w:numPr>
          <w:numId w:val="0"/>
        </w:numPr>
        <w:jc w:val="both"/>
        <w:rPr>
          <w:rFonts w:hint="default" w:ascii="宋体" w:hAnsi="宋体" w:eastAsia="宋体" w:cs="宋体"/>
          <w:sz w:val="24"/>
          <w:szCs w:val="24"/>
          <w:lang w:val="en-US" w:eastAsia="zh-CN"/>
        </w:rPr>
      </w:pPr>
    </w:p>
    <w:p w14:paraId="621AA75B">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【如何使用】</w:t>
      </w:r>
    </w:p>
    <w:p w14:paraId="2099DC29">
      <w:pPr>
        <w:pStyle w:val="3"/>
        <w:keepNext w:val="0"/>
        <w:keepLines w:val="0"/>
        <w:widowControl/>
        <w:suppressLineNumbers w:val="0"/>
        <w:shd w:val="clear" w:fill="FFFFFF"/>
        <w:spacing w:before="0" w:beforeAutospacing="0" w:after="178" w:afterAutospacing="0"/>
        <w:ind w:left="0" w:firstLine="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优惠券领取成功后，您可点击“去使用”按钮，搜索心仪的域名并添加到购物车。系统会自动匹配您已有的所有满足条件的优惠券，并选中优惠力度最大的优惠券进行核算。如果加购时没有显示券后价，说明您当前没有满足使用条件的优惠券。</w:t>
      </w:r>
    </w:p>
    <w:p w14:paraId="1E3EB015">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099685" cy="2459990"/>
            <wp:effectExtent l="0" t="0" r="5715" b="889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8"/>
                    <a:stretch>
                      <a:fillRect/>
                    </a:stretch>
                  </pic:blipFill>
                  <pic:spPr>
                    <a:xfrm>
                      <a:off x="0" y="0"/>
                      <a:ext cx="5099685" cy="2459990"/>
                    </a:xfrm>
                    <a:prstGeom prst="rect">
                      <a:avLst/>
                    </a:prstGeom>
                    <a:noFill/>
                    <a:ln w="9525">
                      <a:noFill/>
                    </a:ln>
                  </pic:spPr>
                </pic:pic>
              </a:graphicData>
            </a:graphic>
          </wp:inline>
        </w:drawing>
      </w:r>
    </w:p>
    <w:p w14:paraId="623DD8ED">
      <w:pPr>
        <w:widowControl w:val="0"/>
        <w:numPr>
          <w:numId w:val="0"/>
        </w:numPr>
        <w:jc w:val="both"/>
        <w:rPr>
          <w:rFonts w:ascii="宋体" w:hAnsi="宋体" w:eastAsia="宋体" w:cs="宋体"/>
          <w:sz w:val="24"/>
          <w:szCs w:val="24"/>
        </w:rPr>
      </w:pPr>
    </w:p>
    <w:p w14:paraId="45756DE3">
      <w:pPr>
        <w:widowControl w:val="0"/>
        <w:numPr>
          <w:numId w:val="0"/>
        </w:numPr>
        <w:jc w:val="both"/>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优惠券领取成功后，您也可在控制台--我的优惠券中，查看可使用的优惠券、各优惠券的适用范围、领取来源、状态、有效期和使用操作。</w:t>
      </w:r>
    </w:p>
    <w:p w14:paraId="3284C2D0">
      <w:pPr>
        <w:widowControl w:val="0"/>
        <w:numPr>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327015" cy="1859280"/>
            <wp:effectExtent l="0" t="0" r="698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9"/>
                    <a:stretch>
                      <a:fillRect/>
                    </a:stretch>
                  </pic:blipFill>
                  <pic:spPr>
                    <a:xfrm>
                      <a:off x="0" y="0"/>
                      <a:ext cx="5327015" cy="1859280"/>
                    </a:xfrm>
                    <a:prstGeom prst="rect">
                      <a:avLst/>
                    </a:prstGeom>
                    <a:noFill/>
                    <a:ln w="9525">
                      <a:noFill/>
                    </a:ln>
                  </pic:spPr>
                </pic:pic>
              </a:graphicData>
            </a:graphic>
          </wp:inline>
        </w:drawing>
      </w:r>
    </w:p>
    <w:p w14:paraId="49ECF057">
      <w:pPr>
        <w:pStyle w:val="3"/>
        <w:keepNext w:val="0"/>
        <w:keepLines w:val="0"/>
        <w:widowControl/>
        <w:suppressLineNumbers w:val="0"/>
        <w:shd w:val="clear" w:fill="FFFFFF"/>
        <w:spacing w:before="0" w:beforeAutospacing="0" w:after="178" w:afterAutospacing="0"/>
        <w:ind w:left="0" w:firstLine="0"/>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优惠券状态分为未开始、进行中：</w:t>
      </w:r>
    </w:p>
    <w:p w14:paraId="25997E87">
      <w:pPr>
        <w:pStyle w:val="3"/>
        <w:keepNext w:val="0"/>
        <w:keepLines w:val="0"/>
        <w:widowControl/>
        <w:suppressLineNumbers w:val="0"/>
        <w:spacing w:before="0" w:beforeAutospacing="0" w:after="178" w:afterAutospacing="0"/>
        <w:ind w:left="0"/>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未开始：已领取但未到开始时间的优惠券。</w:t>
      </w:r>
    </w:p>
    <w:p w14:paraId="430993F6">
      <w:pPr>
        <w:pStyle w:val="3"/>
        <w:keepNext w:val="0"/>
        <w:keepLines w:val="0"/>
        <w:widowControl/>
        <w:suppressLineNumbers w:val="0"/>
        <w:spacing w:before="0" w:beforeAutospacing="0" w:after="178" w:afterAutospacing="0"/>
        <w:ind w:left="0"/>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进行中：已领取且在有效期内的优惠券，可用于适用范围内注册域名订单的部分费用抵扣。</w:t>
      </w:r>
    </w:p>
    <w:p w14:paraId="2B2B57BB">
      <w:pPr>
        <w:pStyle w:val="3"/>
        <w:keepNext w:val="0"/>
        <w:keepLines w:val="0"/>
        <w:widowControl/>
        <w:suppressLineNumbers w:val="0"/>
        <w:spacing w:before="0" w:beforeAutospacing="0" w:after="178" w:afterAutospacing="0"/>
        <w:ind w:left="0"/>
        <w:rPr>
          <w:rFonts w:hint="default" w:asciiTheme="minorHAnsi" w:hAnsiTheme="minorHAnsi" w:eastAsiaTheme="minorEastAsia" w:cstheme="minorBidi"/>
          <w:kern w:val="2"/>
          <w:sz w:val="21"/>
          <w:szCs w:val="24"/>
          <w:lang w:val="en-US" w:eastAsia="zh-CN" w:bidi="ar-SA"/>
        </w:rPr>
      </w:pPr>
    </w:p>
    <w:p w14:paraId="21F4FBE7">
      <w:pPr>
        <w:keepNext w:val="0"/>
        <w:keepLines w:val="0"/>
        <w:widowControl/>
        <w:suppressLineNumbers w:val="0"/>
        <w:shd w:val="clear" w:fill="FFFFFF"/>
        <w:spacing w:before="0" w:beforeAutospacing="0" w:after="178" w:afterAutospacing="0"/>
        <w:ind w:left="0" w:firstLine="0"/>
        <w:jc w:val="center"/>
        <w:rPr>
          <w:rFonts w:ascii="Helvetica" w:hAnsi="Helvetica" w:eastAsia="Helvetica" w:cs="Helvetica"/>
          <w:b/>
          <w:bCs/>
          <w:i w:val="0"/>
          <w:iCs w:val="0"/>
          <w:caps w:val="0"/>
          <w:color w:val="0099CC"/>
          <w:spacing w:val="2"/>
          <w:sz w:val="36"/>
          <w:szCs w:val="36"/>
        </w:rPr>
      </w:pPr>
      <w:r>
        <w:rPr>
          <w:rFonts w:hint="default" w:ascii="Helvetica" w:hAnsi="Helvetica" w:eastAsia="Helvetica" w:cs="Helvetica"/>
          <w:b/>
          <w:bCs/>
          <w:i w:val="0"/>
          <w:iCs w:val="0"/>
          <w:caps w:val="0"/>
          <w:color w:val="0099CC"/>
          <w:spacing w:val="2"/>
          <w:kern w:val="0"/>
          <w:sz w:val="36"/>
          <w:szCs w:val="36"/>
          <w:shd w:val="clear" w:fill="FFFFFF"/>
          <w:lang w:val="en-US" w:eastAsia="zh-CN" w:bidi="ar"/>
        </w:rPr>
        <w:t>11 注销域名</w:t>
      </w:r>
    </w:p>
    <w:p w14:paraId="1F986699">
      <w:pPr>
        <w:pStyle w:val="3"/>
        <w:keepNext w:val="0"/>
        <w:keepLines w:val="0"/>
        <w:widowControl/>
        <w:suppressLineNumbers w:val="0"/>
        <w:spacing w:before="0" w:beforeAutospacing="0" w:after="178" w:afterAutospacing="0"/>
        <w:ind w:left="0"/>
        <w:jc w:val="left"/>
        <w:rPr>
          <w:rFonts w:hint="default" w:asciiTheme="minorHAnsi" w:hAnsiTheme="minorHAnsi" w:eastAsiaTheme="minorEastAsia" w:cstheme="minorBidi"/>
          <w:kern w:val="2"/>
          <w:sz w:val="21"/>
          <w:szCs w:val="24"/>
          <w:lang w:val="en-US" w:eastAsia="zh-CN" w:bidi="ar-SA"/>
        </w:rPr>
      </w:pPr>
      <w:r>
        <w:rPr>
          <w:rFonts w:hint="default" w:ascii="Helvetica" w:hAnsi="Helvetica" w:eastAsia="Helvetica" w:cs="Helvetica"/>
          <w:i w:val="0"/>
          <w:iCs w:val="0"/>
          <w:caps w:val="0"/>
          <w:color w:val="333333"/>
          <w:spacing w:val="2"/>
          <w:sz w:val="16"/>
          <w:szCs w:val="16"/>
          <w:shd w:val="clear" w:fill="FFFFFF"/>
        </w:rPr>
        <w:t> </w:t>
      </w:r>
      <w:r>
        <w:rPr>
          <w:rFonts w:hint="default" w:asciiTheme="minorHAnsi" w:hAnsiTheme="minorHAnsi" w:eastAsiaTheme="minorEastAsia" w:cstheme="minorBidi"/>
          <w:kern w:val="2"/>
          <w:sz w:val="21"/>
          <w:szCs w:val="24"/>
          <w:lang w:val="en-US" w:eastAsia="zh-CN" w:bidi="ar-SA"/>
        </w:rPr>
        <w:t> 域名的有效期是您在购买域名时选择的年份，在域名到达有效期后如您未完成账单的付款，我们会将您的域名暂时锁定保留一个月，超出一个月我们将会注销您的域名并为他人提供注册服务。</w:t>
      </w:r>
    </w:p>
    <w:p w14:paraId="7F2A58DC">
      <w:pPr>
        <w:pStyle w:val="3"/>
        <w:keepNext w:val="0"/>
        <w:keepLines w:val="0"/>
        <w:widowControl/>
        <w:suppressLineNumbers w:val="0"/>
        <w:spacing w:before="0" w:beforeAutospacing="0" w:after="178" w:afterAutospacing="0"/>
        <w:ind w:left="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  如您主动注销一级域名，那么您在官方门户内不可再查看到该域名及其所有子域名；如您主动注销子域名，那么您仅不可再查看到该子域名。域名一经注销，已支付过的费用不会进行退款。</w:t>
      </w:r>
    </w:p>
    <w:p w14:paraId="335943CF">
      <w:pPr>
        <w:pStyle w:val="3"/>
        <w:keepNext w:val="0"/>
        <w:keepLines w:val="0"/>
        <w:widowControl/>
        <w:suppressLineNumbers w:val="0"/>
        <w:spacing w:before="0" w:beforeAutospacing="0" w:after="178" w:afterAutospacing="0"/>
        <w:ind w:left="0"/>
        <w:rPr>
          <w:rFonts w:ascii="宋体" w:hAnsi="宋体" w:eastAsia="宋体" w:cs="宋体"/>
          <w:sz w:val="24"/>
          <w:szCs w:val="24"/>
        </w:rPr>
      </w:pPr>
      <w:r>
        <w:rPr>
          <w:rFonts w:ascii="宋体" w:hAnsi="宋体" w:eastAsia="宋体" w:cs="宋体"/>
          <w:sz w:val="24"/>
          <w:szCs w:val="24"/>
        </w:rPr>
        <w:drawing>
          <wp:inline distT="0" distB="0" distL="114300" distR="114300">
            <wp:extent cx="5197475" cy="2385060"/>
            <wp:effectExtent l="0" t="0" r="14605" b="762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0"/>
                    <a:stretch>
                      <a:fillRect/>
                    </a:stretch>
                  </pic:blipFill>
                  <pic:spPr>
                    <a:xfrm>
                      <a:off x="0" y="0"/>
                      <a:ext cx="5197475" cy="2385060"/>
                    </a:xfrm>
                    <a:prstGeom prst="rect">
                      <a:avLst/>
                    </a:prstGeom>
                    <a:noFill/>
                    <a:ln w="9525">
                      <a:noFill/>
                    </a:ln>
                  </pic:spPr>
                </pic:pic>
              </a:graphicData>
            </a:graphic>
          </wp:inline>
        </w:drawing>
      </w:r>
    </w:p>
    <w:p w14:paraId="499CA95E">
      <w:pPr>
        <w:pStyle w:val="3"/>
        <w:keepNext w:val="0"/>
        <w:keepLines w:val="0"/>
        <w:widowControl/>
        <w:suppressLineNumbers w:val="0"/>
        <w:spacing w:before="0" w:beforeAutospacing="0" w:after="178" w:afterAutospacing="0"/>
        <w:ind w:left="0"/>
        <w:rPr>
          <w:rFonts w:ascii="宋体" w:hAnsi="宋体" w:eastAsia="宋体" w:cs="宋体"/>
          <w:sz w:val="24"/>
          <w:szCs w:val="24"/>
        </w:rPr>
      </w:pPr>
    </w:p>
    <w:p w14:paraId="1EB807DF">
      <w:pPr>
        <w:pStyle w:val="3"/>
        <w:keepNext w:val="0"/>
        <w:keepLines w:val="0"/>
        <w:widowControl/>
        <w:suppressLineNumbers w:val="0"/>
        <w:spacing w:before="0" w:beforeAutospacing="0" w:after="178" w:afterAutospacing="0"/>
        <w:ind w:left="0"/>
        <w:rPr>
          <w:rFonts w:hint="default" w:ascii="宋体" w:hAnsi="宋体" w:eastAsia="宋体" w:cs="宋体"/>
          <w:sz w:val="24"/>
          <w:szCs w:val="24"/>
          <w:lang w:val="en-US" w:eastAsia="zh-CN"/>
        </w:rPr>
      </w:pPr>
      <w:bookmarkStart w:id="0" w:name="_GoBack"/>
      <w:bookmarkEnd w:id="0"/>
    </w:p>
    <w:p w14:paraId="54C543D8">
      <w:pPr>
        <w:widowControl w:val="0"/>
        <w:numPr>
          <w:numId w:val="0"/>
        </w:numPr>
        <w:jc w:val="both"/>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655A8A"/>
    <w:multiLevelType w:val="singleLevel"/>
    <w:tmpl w:val="D4655A8A"/>
    <w:lvl w:ilvl="0" w:tentative="0">
      <w:start w:val="1"/>
      <w:numFmt w:val="decimal"/>
      <w:suff w:val="nothing"/>
      <w:lvlText w:val="%1、"/>
      <w:lvlJc w:val="left"/>
    </w:lvl>
  </w:abstractNum>
  <w:abstractNum w:abstractNumId="1">
    <w:nsid w:val="DCADDF36"/>
    <w:multiLevelType w:val="singleLevel"/>
    <w:tmpl w:val="DCADDF36"/>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lMTIzYTQxYjc0Mjk3NDRkZGMzMjY0M2E5MDc3NjgifQ=="/>
  </w:docVars>
  <w:rsids>
    <w:rsidRoot w:val="00000000"/>
    <w:rsid w:val="22696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15</TotalTime>
  <ScaleCrop>false</ScaleCrop>
  <LinksUpToDate>false</LinksUpToDate>
  <CharactersWithSpaces>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2024-09-07T08:32:14Z</dcterms:created>
  <dc:creator>young</dc:creator>
  <cp:lastModifiedBy>耿先生</cp:lastModifiedBy>
  <dcterms:modified xsi:type="dcterms:W3CDTF">2024-09-07T08:48:08Z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B7FC675AAA754958A0649DDDA4B8045B_12</vt:lpwstr>
  </property>
</Properties>
</file>