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92A3E">
      <w:pPr>
        <w:jc w:val="center"/>
        <w:rPr>
          <w:rFonts w:hint="eastAsia"/>
          <w:b/>
          <w:bCs/>
          <w:sz w:val="48"/>
          <w:szCs w:val="56"/>
          <w:lang w:val="en-US" w:eastAsia="zh-CN"/>
        </w:rPr>
      </w:pPr>
      <w:r>
        <w:rPr>
          <w:rFonts w:hint="eastAsia"/>
          <w:b/>
          <w:bCs/>
          <w:sz w:val="48"/>
          <w:szCs w:val="56"/>
          <w:lang w:val="en-US" w:eastAsia="zh-CN"/>
        </w:rPr>
        <w:t>BSN发展联盟</w:t>
      </w:r>
    </w:p>
    <w:p w14:paraId="717A8A29">
      <w:pPr>
        <w:ind w:firstLine="420" w:firstLineChars="200"/>
        <w:rPr>
          <w:rFonts w:hint="eastAsia"/>
          <w:lang w:val="en-US" w:eastAsia="zh-CN"/>
        </w:rPr>
      </w:pPr>
      <w:r>
        <w:rPr>
          <w:rFonts w:hint="eastAsia"/>
          <w:lang w:val="en-US" w:eastAsia="zh-CN"/>
        </w:rPr>
        <w:t>2018年，国家信息中心在对区块链技术架构、应用模式、服务机制进行了深入研究后，做出了总体规划和顶层设计，联合中国移动、中国银联、北京红枣科技等单位共同发起建立了区块链公共基础设施——区块链服务网络（BSN）。</w:t>
      </w:r>
    </w:p>
    <w:p w14:paraId="357EBD78">
      <w:pPr>
        <w:ind w:firstLine="420" w:firstLineChars="200"/>
        <w:rPr>
          <w:rFonts w:hint="eastAsia"/>
          <w:lang w:val="en-US" w:eastAsia="zh-CN"/>
        </w:rPr>
      </w:pPr>
      <w:r>
        <w:rPr>
          <w:rFonts w:hint="eastAsia"/>
          <w:lang w:val="en-US" w:eastAsia="zh-CN"/>
        </w:rPr>
        <w:t>BSN通过提供分布式云管软件，可以在任何私有云和公有云内建立一个与传统云环境平行的分布式云环境（BSN专网）；同时BSN也推出了分布式云服务网络（BSN公网），企业和个人可以搭建自己的算力中心来加入网络，并自由搭建和管理自己的分布式应用。与互联网类似，所有的BSN虚拟数据中心、云环境和算力中心通过通信协议相互连接，形成全球BSN网络。</w:t>
      </w:r>
    </w:p>
    <w:p w14:paraId="768395A8">
      <w:pPr>
        <w:ind w:firstLine="420" w:firstLineChars="200"/>
        <w:rPr>
          <w:rFonts w:hint="eastAsia"/>
          <w:lang w:val="en-US" w:eastAsia="zh-CN"/>
        </w:rPr>
      </w:pPr>
      <w:r>
        <w:rPr>
          <w:rFonts w:hint="eastAsia"/>
          <w:lang w:val="en-US" w:eastAsia="zh-CN"/>
        </w:rPr>
        <w:t>BSN定位于分布式技术应用的底层公共基础设施，致力于持续降低分布式技术的应用成本、技术门槛和监管难度。</w:t>
      </w:r>
    </w:p>
    <w:p w14:paraId="10221B90">
      <w:pPr>
        <w:ind w:firstLine="420" w:firstLineChars="200"/>
        <w:jc w:val="left"/>
        <w:rPr>
          <w:rFonts w:hint="eastAsia"/>
          <w:lang w:val="en-US" w:eastAsia="zh-CN"/>
        </w:rPr>
      </w:pPr>
      <w:r>
        <w:rPr>
          <w:rFonts w:hint="eastAsia"/>
          <w:lang w:val="en-US" w:eastAsia="zh-CN"/>
        </w:rPr>
        <w:t>BSN已经构建起一个庞大的技术体系，目前BSN的技术架构包括BSN专网和BSN公网两大体系，其中BSN专网即企业级的“BSN分布式云管平台”，支持在各类物理IDC机房、公有云和私有云部署，建立基于区块链的分布式云系统环境。而BSN公网则包括面向国内市场的“BSN-DDC基础网络”，一个由开放联盟链组成的公共分布式云服务网络，算力中心免费、开源；以及专门面向境外市场的“BSN Spartan Network”，一个由无币公链组成的公共分布式云服务网络，提供免费、开源和匿名的数据中心。</w:t>
      </w:r>
    </w:p>
    <w:p w14:paraId="16D30FDA">
      <w:pPr>
        <w:ind w:firstLine="420" w:firstLineChars="200"/>
        <w:rPr>
          <w:rFonts w:hint="eastAsia"/>
          <w:lang w:val="en-US" w:eastAsia="zh-CN"/>
        </w:rPr>
      </w:pPr>
      <w:r>
        <w:drawing>
          <wp:inline distT="0" distB="0" distL="114300" distR="114300">
            <wp:extent cx="5267325" cy="3098800"/>
            <wp:effectExtent l="0" t="0" r="571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67325" cy="3098800"/>
                    </a:xfrm>
                    <a:prstGeom prst="rect">
                      <a:avLst/>
                    </a:prstGeom>
                    <a:noFill/>
                    <a:ln>
                      <a:noFill/>
                    </a:ln>
                  </pic:spPr>
                </pic:pic>
              </a:graphicData>
            </a:graphic>
          </wp:inline>
        </w:drawing>
      </w:r>
    </w:p>
    <w:p w14:paraId="281679BD">
      <w:pPr>
        <w:ind w:firstLine="420" w:firstLineChars="200"/>
        <w:rPr>
          <w:rFonts w:hint="eastAsia"/>
          <w:lang w:val="en-US" w:eastAsia="zh-CN"/>
        </w:rPr>
      </w:pPr>
    </w:p>
    <w:p w14:paraId="10AC74DC">
      <w:pPr>
        <w:rPr>
          <w:rFonts w:hint="eastAsia"/>
          <w:lang w:val="en-US" w:eastAsia="zh-CN"/>
        </w:rPr>
      </w:pPr>
    </w:p>
    <w:p w14:paraId="507ED05E">
      <w:pPr>
        <w:rPr>
          <w:rFonts w:hint="eastAsia"/>
          <w:lang w:val="en-US" w:eastAsia="zh-CN"/>
        </w:rPr>
      </w:pPr>
    </w:p>
    <w:p w14:paraId="77EEDF65">
      <w:pPr>
        <w:rPr>
          <w:rFonts w:hint="eastAsia"/>
          <w:lang w:val="en-US" w:eastAsia="zh-CN"/>
        </w:rPr>
      </w:pPr>
    </w:p>
    <w:p w14:paraId="7CB81BC8">
      <w:pPr>
        <w:rPr>
          <w:rFonts w:hint="eastAsia"/>
          <w:lang w:val="en-US" w:eastAsia="zh-CN"/>
        </w:rPr>
      </w:pPr>
    </w:p>
    <w:p w14:paraId="22C72EE5">
      <w:pPr>
        <w:rPr>
          <w:rFonts w:hint="eastAsia"/>
          <w:lang w:val="en-US" w:eastAsia="zh-CN"/>
        </w:rPr>
      </w:pPr>
    </w:p>
    <w:p w14:paraId="3503F082">
      <w:pPr>
        <w:rPr>
          <w:rFonts w:hint="eastAsia"/>
          <w:lang w:val="en-US" w:eastAsia="zh-CN"/>
        </w:rPr>
      </w:pPr>
    </w:p>
    <w:p w14:paraId="449A3708">
      <w:pPr>
        <w:rPr>
          <w:rFonts w:hint="eastAsia"/>
          <w:lang w:val="en-US" w:eastAsia="zh-CN"/>
        </w:rPr>
      </w:pPr>
    </w:p>
    <w:p w14:paraId="0DB097E9">
      <w:pPr>
        <w:rPr>
          <w:rFonts w:hint="eastAsia"/>
          <w:lang w:val="en-US" w:eastAsia="zh-CN"/>
        </w:rPr>
      </w:pPr>
    </w:p>
    <w:p w14:paraId="6E4622A1">
      <w:pPr>
        <w:rPr>
          <w:rFonts w:hint="eastAsia"/>
          <w:lang w:val="en-US" w:eastAsia="zh-CN"/>
        </w:rPr>
      </w:pPr>
    </w:p>
    <w:p w14:paraId="5855D9AD">
      <w:pPr>
        <w:jc w:val="center"/>
        <w:rPr>
          <w:rFonts w:hint="eastAsia"/>
          <w:b/>
          <w:bCs/>
          <w:sz w:val="48"/>
          <w:szCs w:val="56"/>
          <w:lang w:val="en-US" w:eastAsia="zh-CN"/>
        </w:rPr>
      </w:pPr>
      <w:r>
        <w:rPr>
          <w:rFonts w:hint="eastAsia"/>
          <w:b/>
          <w:bCs/>
          <w:sz w:val="48"/>
          <w:szCs w:val="56"/>
          <w:lang w:val="en-US" w:eastAsia="zh-CN"/>
        </w:rPr>
        <w:t>BSN延安链</w:t>
      </w:r>
    </w:p>
    <w:p w14:paraId="0593DC0F">
      <w:pPr>
        <w:ind w:firstLine="420" w:firstLineChars="200"/>
        <w:rPr>
          <w:rFonts w:hint="eastAsia"/>
          <w:lang w:val="en-US" w:eastAsia="zh-CN"/>
        </w:rPr>
      </w:pPr>
      <w:r>
        <w:rPr>
          <w:rFonts w:hint="eastAsia"/>
          <w:lang w:val="en-US" w:eastAsia="zh-CN"/>
        </w:rPr>
        <w:t>BSN延安链是一条权威官方应用治理链，专门用于提供来自权威机构并具有公共服务属性的分布式应用。目前已经部署了多个试点应用，由国家信息中心、公安部一所中盾安信、中国信通院云大所、中国移动集团设计院、BSN发展联盟等多家单位参与运营和管理。</w:t>
      </w:r>
    </w:p>
    <w:p w14:paraId="230C837B">
      <w:pPr>
        <w:ind w:firstLine="420" w:firstLineChars="200"/>
        <w:rPr>
          <w:rFonts w:hint="eastAsia"/>
          <w:lang w:val="en-US" w:eastAsia="zh-CN"/>
        </w:rPr>
      </w:pPr>
      <w:r>
        <w:rPr>
          <w:rFonts w:hint="eastAsia"/>
          <w:lang w:val="en-US" w:eastAsia="zh-CN"/>
        </w:rPr>
        <w:t>BSN延安链搭建在BSN-DDC基础网络上，在公开、透明等优势上与DDC网络上的其他开放联盟链保持一致，任何机构、企业、个人用户都可以方便、快捷地访问和接入，通过调用接口，使用BSN延安链上部署的官方应用所提供的服务，但无法自由部署任何第三方应用。</w:t>
      </w:r>
    </w:p>
    <w:p w14:paraId="2D2BC016">
      <w:pPr>
        <w:rPr>
          <w:rFonts w:hint="eastAsia"/>
          <w:b/>
          <w:bCs/>
          <w:lang w:val="en-US" w:eastAsia="zh-CN"/>
        </w:rPr>
      </w:pPr>
      <w:r>
        <w:rPr>
          <w:rFonts w:hint="eastAsia"/>
          <w:b/>
          <w:bCs/>
          <w:lang w:val="en-US" w:eastAsia="zh-CN"/>
        </w:rPr>
        <w:t>BSN延安链官方应用（试点）</w:t>
      </w:r>
    </w:p>
    <w:p w14:paraId="550E7D9C">
      <w:pPr>
        <w:rPr>
          <w:rFonts w:hint="default"/>
          <w:lang w:val="en-US" w:eastAsia="zh-CN"/>
        </w:rPr>
      </w:pPr>
      <w:r>
        <w:rPr>
          <w:rFonts w:hint="eastAsia"/>
          <w:lang w:val="en-US" w:eastAsia="zh-CN"/>
        </w:rPr>
        <w:t xml:space="preserve">    BSN实名DID服务、可信区块链运行监测服务平台、全网分布式域名服务、BSN-DID服务、通用跨链服务、实名制私钥托管服务、数字资产实名保护服务、</w:t>
      </w:r>
    </w:p>
    <w:p w14:paraId="53DC15EB">
      <w:pPr>
        <w:rPr>
          <w:rFonts w:hint="eastAsia"/>
          <w:b/>
          <w:bCs/>
          <w:lang w:val="en-US" w:eastAsia="zh-CN"/>
        </w:rPr>
      </w:pPr>
      <w:r>
        <w:rPr>
          <w:rFonts w:hint="eastAsia"/>
          <w:b/>
          <w:bCs/>
          <w:lang w:val="en-US" w:eastAsia="zh-CN"/>
        </w:rPr>
        <w:t>BSN延安链理念</w:t>
      </w:r>
    </w:p>
    <w:p w14:paraId="0311F8C2">
      <w:pPr>
        <w:ind w:firstLine="420"/>
        <w:rPr>
          <w:rFonts w:hint="eastAsia"/>
          <w:lang w:val="en-US" w:eastAsia="zh-CN"/>
        </w:rPr>
      </w:pPr>
      <w:r>
        <w:rPr>
          <w:rFonts w:hint="eastAsia"/>
          <w:lang w:val="en-US" w:eastAsia="zh-CN"/>
        </w:rPr>
        <w:t>建立一套符合中国国情的分布式技术治理体系和一系列相关技术标准开展试点工作，帮助国家更好地制定分布式技术或互联网3.0领域的相关法律法规以及政策积累经验。同时通过在BSN延安链上进行的试点，可以为未来分布式钱包和支付等应用的出现提前做好充分的准备。</w:t>
      </w:r>
    </w:p>
    <w:p w14:paraId="52942875">
      <w:pPr>
        <w:rPr>
          <w:rFonts w:hint="eastAsia"/>
          <w:b/>
          <w:bCs/>
          <w:lang w:val="en-US" w:eastAsia="zh-CN"/>
        </w:rPr>
      </w:pPr>
      <w:r>
        <w:rPr>
          <w:rFonts w:hint="eastAsia"/>
          <w:b/>
          <w:bCs/>
          <w:lang w:val="en-US" w:eastAsia="zh-CN"/>
        </w:rPr>
        <w:t>BSN延安链目标</w:t>
      </w:r>
    </w:p>
    <w:p w14:paraId="1EE95688">
      <w:pPr>
        <w:ind w:firstLine="420" w:firstLineChars="200"/>
        <w:rPr>
          <w:rFonts w:hint="eastAsia"/>
          <w:lang w:val="en-US" w:eastAsia="zh-CN"/>
        </w:rPr>
      </w:pPr>
      <w:r>
        <w:rPr>
          <w:rFonts w:hint="eastAsia"/>
          <w:lang w:val="en-US" w:eastAsia="zh-CN"/>
        </w:rPr>
        <w:t>最终探索出能够构建互联网公共层并可以在全球通用的最有效的技术体系和生态体系，让中国成为下一代互联网和分布式数据通讯的标准制定者和技术输出者。</w:t>
      </w:r>
    </w:p>
    <w:p w14:paraId="0B69E7CC">
      <w:pPr>
        <w:ind w:firstLine="420" w:firstLineChars="200"/>
        <w:rPr>
          <w:rFonts w:hint="default"/>
          <w:lang w:val="en-US" w:eastAsia="zh-CN"/>
        </w:rPr>
      </w:pPr>
      <w:r>
        <w:rPr>
          <w:rFonts w:hint="eastAsia"/>
          <w:lang w:val="en-US" w:eastAsia="zh-CN"/>
        </w:rPr>
        <w:t>实名DID和全网分布式域名就部署运行在BSN延安链上，包括数字人民币，目前已经有8个官方应用部署在BSN延安链上。</w:t>
      </w:r>
    </w:p>
    <w:p w14:paraId="29F79895">
      <w:pPr>
        <w:rPr>
          <w:rFonts w:hint="default"/>
          <w:lang w:val="en-US" w:eastAsia="zh-CN"/>
        </w:rPr>
      </w:pPr>
      <w:r>
        <w:rPr>
          <w:rFonts w:hint="eastAsia"/>
          <w:lang w:val="en-US" w:eastAsia="zh-CN"/>
        </w:rPr>
        <w:t xml:space="preserve">    </w:t>
      </w:r>
    </w:p>
    <w:p w14:paraId="7659C742">
      <w:pPr>
        <w:rPr>
          <w:rFonts w:hint="eastAsia"/>
          <w:lang w:val="en-US" w:eastAsia="zh-CN"/>
        </w:rPr>
      </w:pPr>
    </w:p>
    <w:p w14:paraId="1EC7F2DF">
      <w:pPr>
        <w:rPr>
          <w:rFonts w:hint="eastAsia"/>
          <w:lang w:val="en-US" w:eastAsia="zh-CN"/>
        </w:rPr>
      </w:pPr>
    </w:p>
    <w:p w14:paraId="227F0AAA">
      <w:pPr>
        <w:rPr>
          <w:rFonts w:hint="eastAsia"/>
          <w:lang w:val="en-US" w:eastAsia="zh-CN"/>
        </w:rPr>
      </w:pPr>
    </w:p>
    <w:p w14:paraId="31CA1CE8">
      <w:pPr>
        <w:rPr>
          <w:rFonts w:hint="eastAsia"/>
          <w:lang w:val="en-US" w:eastAsia="zh-CN"/>
        </w:rPr>
      </w:pPr>
    </w:p>
    <w:p w14:paraId="3269DA3A">
      <w:pPr>
        <w:rPr>
          <w:rFonts w:hint="eastAsia"/>
          <w:lang w:val="en-US" w:eastAsia="zh-CN"/>
        </w:rPr>
      </w:pPr>
    </w:p>
    <w:p w14:paraId="71A4ABA1">
      <w:pPr>
        <w:rPr>
          <w:rFonts w:hint="eastAsia"/>
          <w:lang w:val="en-US" w:eastAsia="zh-CN"/>
        </w:rPr>
      </w:pPr>
    </w:p>
    <w:p w14:paraId="5C0DE160">
      <w:pPr>
        <w:rPr>
          <w:rFonts w:hint="eastAsia"/>
          <w:lang w:val="en-US" w:eastAsia="zh-CN"/>
        </w:rPr>
      </w:pPr>
    </w:p>
    <w:p w14:paraId="69F98C70">
      <w:pPr>
        <w:rPr>
          <w:rFonts w:hint="eastAsia"/>
          <w:lang w:val="en-US" w:eastAsia="zh-CN"/>
        </w:rPr>
      </w:pPr>
    </w:p>
    <w:p w14:paraId="3B79C346">
      <w:pPr>
        <w:rPr>
          <w:rFonts w:hint="eastAsia"/>
          <w:lang w:val="en-US" w:eastAsia="zh-CN"/>
        </w:rPr>
      </w:pPr>
    </w:p>
    <w:p w14:paraId="07B5DCE1">
      <w:pPr>
        <w:rPr>
          <w:rFonts w:hint="eastAsia"/>
          <w:lang w:val="en-US" w:eastAsia="zh-CN"/>
        </w:rPr>
      </w:pPr>
    </w:p>
    <w:p w14:paraId="2C048B7C">
      <w:pPr>
        <w:rPr>
          <w:rFonts w:hint="eastAsia"/>
          <w:lang w:val="en-US" w:eastAsia="zh-CN"/>
        </w:rPr>
      </w:pPr>
    </w:p>
    <w:p w14:paraId="4AE08722">
      <w:pPr>
        <w:rPr>
          <w:rFonts w:hint="eastAsia"/>
          <w:lang w:val="en-US" w:eastAsia="zh-CN"/>
        </w:rPr>
      </w:pPr>
    </w:p>
    <w:p w14:paraId="66BEE7F1">
      <w:pPr>
        <w:rPr>
          <w:rFonts w:hint="eastAsia"/>
          <w:lang w:val="en-US" w:eastAsia="zh-CN"/>
        </w:rPr>
      </w:pPr>
    </w:p>
    <w:p w14:paraId="66063E2D">
      <w:pPr>
        <w:rPr>
          <w:rFonts w:hint="eastAsia"/>
          <w:lang w:val="en-US" w:eastAsia="zh-CN"/>
        </w:rPr>
      </w:pPr>
    </w:p>
    <w:p w14:paraId="7A2B713C">
      <w:pPr>
        <w:rPr>
          <w:rFonts w:hint="eastAsia"/>
          <w:lang w:val="en-US" w:eastAsia="zh-CN"/>
        </w:rPr>
      </w:pPr>
    </w:p>
    <w:p w14:paraId="6EB3B72B">
      <w:pPr>
        <w:rPr>
          <w:rFonts w:hint="eastAsia"/>
          <w:lang w:val="en-US" w:eastAsia="zh-CN"/>
        </w:rPr>
      </w:pPr>
    </w:p>
    <w:p w14:paraId="68F398C3">
      <w:pPr>
        <w:rPr>
          <w:rFonts w:hint="eastAsia"/>
          <w:lang w:val="en-US" w:eastAsia="zh-CN"/>
        </w:rPr>
      </w:pPr>
    </w:p>
    <w:p w14:paraId="08625FD3">
      <w:pPr>
        <w:rPr>
          <w:rFonts w:hint="eastAsia"/>
          <w:lang w:val="en-US" w:eastAsia="zh-CN"/>
        </w:rPr>
      </w:pPr>
    </w:p>
    <w:p w14:paraId="11C67B02">
      <w:pPr>
        <w:rPr>
          <w:rFonts w:hint="eastAsia"/>
          <w:lang w:val="en-US" w:eastAsia="zh-CN"/>
        </w:rPr>
      </w:pPr>
    </w:p>
    <w:p w14:paraId="2CCD5208">
      <w:pPr>
        <w:rPr>
          <w:rFonts w:hint="eastAsia"/>
          <w:lang w:val="en-US" w:eastAsia="zh-CN"/>
        </w:rPr>
      </w:pPr>
    </w:p>
    <w:p w14:paraId="2610BFAF">
      <w:pPr>
        <w:rPr>
          <w:rFonts w:hint="eastAsia"/>
          <w:lang w:val="en-US" w:eastAsia="zh-CN"/>
        </w:rPr>
      </w:pPr>
    </w:p>
    <w:p w14:paraId="14B42CF8">
      <w:pPr>
        <w:jc w:val="center"/>
        <w:rPr>
          <w:rFonts w:hint="eastAsia"/>
          <w:b/>
          <w:bCs/>
          <w:sz w:val="48"/>
          <w:szCs w:val="56"/>
          <w:lang w:val="en-US" w:eastAsia="zh-CN"/>
        </w:rPr>
      </w:pPr>
      <w:r>
        <w:rPr>
          <w:rFonts w:hint="eastAsia"/>
          <w:b/>
          <w:bCs/>
          <w:sz w:val="48"/>
          <w:szCs w:val="56"/>
          <w:lang w:val="en-US" w:eastAsia="zh-CN"/>
        </w:rPr>
        <w:t>实名DID</w:t>
      </w:r>
    </w:p>
    <w:p w14:paraId="1B8B2720">
      <w:pPr>
        <w:ind w:firstLine="420" w:firstLineChars="200"/>
        <w:rPr>
          <w:rFonts w:hint="eastAsia"/>
        </w:rPr>
      </w:pPr>
      <w:r>
        <w:rPr>
          <w:rFonts w:hint="eastAsia"/>
        </w:rPr>
        <w:t>BSN实名DID服务由中盾安信（厦门）经过CTID数字身份链平台对个人用户进行认证后签发具有实名属性的分布式身份标识</w:t>
      </w:r>
      <w:r>
        <w:rPr>
          <w:rFonts w:hint="eastAsia"/>
          <w:lang w:eastAsia="zh-CN"/>
        </w:rPr>
        <w:t>（</w:t>
      </w:r>
      <w:r>
        <w:rPr>
          <w:rFonts w:hint="eastAsia"/>
        </w:rPr>
        <w:t>实名DID</w:t>
      </w:r>
      <w:r>
        <w:rPr>
          <w:rFonts w:hint="eastAsia"/>
          <w:lang w:eastAsia="zh-CN"/>
        </w:rPr>
        <w:t>）</w:t>
      </w:r>
      <w:r>
        <w:rPr>
          <w:rFonts w:hint="eastAsia"/>
        </w:rPr>
        <w:t>。</w:t>
      </w:r>
    </w:p>
    <w:p w14:paraId="18B5E284">
      <w:pPr>
        <w:ind w:firstLine="420" w:firstLineChars="200"/>
        <w:rPr>
          <w:rFonts w:hint="eastAsia" w:cstheme="minorBidi"/>
          <w:kern w:val="2"/>
          <w:sz w:val="21"/>
          <w:szCs w:val="24"/>
          <w:lang w:val="en-US" w:eastAsia="zh-CN" w:bidi="ar-SA"/>
        </w:rPr>
      </w:pPr>
      <w:r>
        <w:rPr>
          <w:rFonts w:hint="default" w:asciiTheme="minorHAnsi" w:hAnsiTheme="minorHAnsi" w:eastAsiaTheme="minorEastAsia" w:cstheme="minorBidi"/>
          <w:kern w:val="2"/>
          <w:sz w:val="21"/>
          <w:szCs w:val="24"/>
          <w:lang w:val="en-US" w:eastAsia="zh-CN" w:bidi="ar-SA"/>
        </w:rPr>
        <w:t>2016 年由</w:t>
      </w:r>
      <w:r>
        <w:rPr>
          <w:rFonts w:hint="default" w:asciiTheme="minorHAnsi" w:hAnsiTheme="minorHAnsi" w:eastAsiaTheme="minorEastAsia" w:cstheme="minorBidi"/>
          <w:b w:val="0"/>
          <w:bCs w:val="0"/>
          <w:kern w:val="2"/>
          <w:sz w:val="21"/>
          <w:szCs w:val="24"/>
          <w:lang w:val="en-US" w:eastAsia="zh-CN" w:bidi="ar-SA"/>
        </w:rPr>
        <w:t>国家发展改革委</w:t>
      </w:r>
      <w:r>
        <w:rPr>
          <w:rFonts w:hint="default" w:asciiTheme="minorHAnsi" w:hAnsiTheme="minorHAnsi" w:eastAsiaTheme="minorEastAsia" w:cstheme="minorBidi"/>
          <w:kern w:val="2"/>
          <w:sz w:val="21"/>
          <w:szCs w:val="24"/>
          <w:lang w:val="en-US" w:eastAsia="zh-CN" w:bidi="ar-SA"/>
        </w:rPr>
        <w:t>批准，在公安部指导下</w:t>
      </w:r>
      <w:r>
        <w:rPr>
          <w:rFonts w:hint="default" w:asciiTheme="minorHAnsi" w:hAnsiTheme="minorHAnsi" w:eastAsiaTheme="minorEastAsia" w:cstheme="minorBidi"/>
          <w:b w:val="0"/>
          <w:bCs w:val="0"/>
          <w:kern w:val="2"/>
          <w:sz w:val="21"/>
          <w:szCs w:val="24"/>
          <w:lang w:val="en-US" w:eastAsia="zh-CN" w:bidi="ar-SA"/>
        </w:rPr>
        <w:t>公安部第一研究所</w:t>
      </w:r>
      <w:r>
        <w:rPr>
          <w:rFonts w:hint="default" w:asciiTheme="minorHAnsi" w:hAnsiTheme="minorHAnsi" w:eastAsiaTheme="minorEastAsia" w:cstheme="minorBidi"/>
          <w:kern w:val="2"/>
          <w:sz w:val="21"/>
          <w:szCs w:val="24"/>
          <w:lang w:val="en-US" w:eastAsia="zh-CN" w:bidi="ar-SA"/>
        </w:rPr>
        <w:t>建设了国家“互联网+”行动计划重大保障支撑工程，暨“互联网+可信身份认证平台”（CTID 平台）</w:t>
      </w:r>
      <w:r>
        <w:rPr>
          <w:rFonts w:hint="eastAsia" w:cstheme="minorBidi"/>
          <w:kern w:val="2"/>
          <w:sz w:val="21"/>
          <w:szCs w:val="24"/>
          <w:lang w:val="en-US" w:eastAsia="zh-CN" w:bidi="ar-SA"/>
        </w:rPr>
        <w:t>。</w:t>
      </w:r>
    </w:p>
    <w:p w14:paraId="0A02639F">
      <w:pPr>
        <w:ind w:firstLine="420" w:firstLineChars="200"/>
        <w:rPr>
          <w:rFonts w:hint="eastAsia"/>
        </w:rPr>
      </w:pPr>
      <w:r>
        <w:rPr>
          <w:rFonts w:hint="default" w:asciiTheme="minorHAnsi" w:hAnsiTheme="minorHAnsi" w:eastAsiaTheme="minorEastAsia" w:cstheme="minorBidi"/>
          <w:kern w:val="2"/>
          <w:sz w:val="21"/>
          <w:szCs w:val="24"/>
          <w:lang w:val="en-US" w:eastAsia="zh-CN" w:bidi="ar-SA"/>
        </w:rPr>
        <w:t>2022 年底开始，</w:t>
      </w:r>
      <w:r>
        <w:rPr>
          <w:rFonts w:hint="default" w:asciiTheme="minorHAnsi" w:hAnsiTheme="minorHAnsi" w:eastAsiaTheme="minorEastAsia" w:cstheme="minorBidi"/>
          <w:b w:val="0"/>
          <w:bCs w:val="0"/>
          <w:kern w:val="2"/>
          <w:sz w:val="21"/>
          <w:szCs w:val="24"/>
          <w:lang w:val="en-US" w:eastAsia="zh-CN" w:bidi="ar-SA"/>
        </w:rPr>
        <w:t>BSN发展联盟</w:t>
      </w:r>
      <w:r>
        <w:rPr>
          <w:rFonts w:hint="default" w:asciiTheme="minorHAnsi" w:hAnsiTheme="minorHAnsi" w:eastAsiaTheme="minorEastAsia" w:cstheme="minorBidi"/>
          <w:kern w:val="2"/>
          <w:sz w:val="21"/>
          <w:szCs w:val="24"/>
          <w:lang w:val="en-US" w:eastAsia="zh-CN" w:bidi="ar-SA"/>
        </w:rPr>
        <w:t>联合</w:t>
      </w:r>
      <w:r>
        <w:rPr>
          <w:rFonts w:hint="default" w:asciiTheme="minorHAnsi" w:hAnsiTheme="minorHAnsi" w:eastAsiaTheme="minorEastAsia" w:cstheme="minorBidi"/>
          <w:b w:val="0"/>
          <w:bCs w:val="0"/>
          <w:kern w:val="2"/>
          <w:sz w:val="21"/>
          <w:szCs w:val="24"/>
          <w:lang w:val="en-US" w:eastAsia="zh-CN" w:bidi="ar-SA"/>
        </w:rPr>
        <w:t>中盾安信（厦门）、中国移动设计院</w:t>
      </w:r>
      <w:r>
        <w:rPr>
          <w:rFonts w:hint="default" w:asciiTheme="minorHAnsi" w:hAnsiTheme="minorHAnsi" w:eastAsiaTheme="minorEastAsia" w:cstheme="minorBidi"/>
          <w:kern w:val="2"/>
          <w:sz w:val="21"/>
          <w:szCs w:val="24"/>
          <w:lang w:val="en-US" w:eastAsia="zh-CN" w:bidi="ar-SA"/>
        </w:rPr>
        <w:t>等单位针对充分融合 BSN区块链服务网络和 CTID 数字身份链两大基础设施</w:t>
      </w:r>
      <w:r>
        <w:rPr>
          <w:rFonts w:hint="eastAsia" w:cstheme="minorBidi"/>
          <w:kern w:val="2"/>
          <w:sz w:val="21"/>
          <w:szCs w:val="24"/>
          <w:lang w:val="en-US" w:eastAsia="zh-CN" w:bidi="ar-SA"/>
        </w:rPr>
        <w:t>。</w:t>
      </w:r>
    </w:p>
    <w:p w14:paraId="2C8EC513">
      <w:pPr>
        <w:ind w:firstLine="420" w:firstLineChars="200"/>
        <w:rPr>
          <w:rFonts w:hint="eastAsia"/>
          <w:lang w:eastAsia="zh-CN"/>
        </w:rPr>
      </w:pPr>
      <w:r>
        <w:rPr>
          <w:rFonts w:hint="eastAsia"/>
          <w:lang w:val="en-US" w:eastAsia="zh-CN"/>
        </w:rPr>
        <w:t>2023年正式上线实名DID服务，以</w:t>
      </w:r>
      <w:r>
        <w:rPr>
          <w:rFonts w:hint="eastAsia"/>
        </w:rPr>
        <w:t>满足“前台匿名、后台实名"的管理要求，面向全社会各行各业提供“权威、安全、可信、便捷”的统一网络身份认证服务，在政务民生、交通出行、医疗健康、金融服务、数字通信等多个领域发挥了巨大作用</w:t>
      </w:r>
      <w:r>
        <w:rPr>
          <w:rFonts w:hint="eastAsia"/>
          <w:lang w:eastAsia="zh-CN"/>
        </w:rPr>
        <w:t>，</w:t>
      </w:r>
      <w:r>
        <w:rPr>
          <w:rFonts w:hint="eastAsia"/>
          <w:lang w:val="en-US" w:eastAsia="zh-CN"/>
        </w:rPr>
        <w:t>同时</w:t>
      </w:r>
      <w:r>
        <w:rPr>
          <w:rFonts w:hint="eastAsia"/>
        </w:rPr>
        <w:t>对服务数字经济发展，支撑国家数据基础设施建设具有重要作用</w:t>
      </w:r>
      <w:r>
        <w:rPr>
          <w:rFonts w:hint="eastAsia"/>
          <w:lang w:eastAsia="zh-CN"/>
        </w:rPr>
        <w:t>。</w:t>
      </w:r>
    </w:p>
    <w:p w14:paraId="2F44EF50">
      <w:pPr>
        <w:ind w:firstLine="420" w:firstLineChars="200"/>
        <w:rPr>
          <w:rFonts w:hint="default"/>
          <w:lang w:val="en-US" w:eastAsia="zh-CN"/>
        </w:rPr>
      </w:pPr>
      <w:r>
        <w:rPr>
          <w:rFonts w:hint="eastAsia"/>
          <w:lang w:val="en-US" w:eastAsia="zh-CN"/>
        </w:rPr>
        <w:t>每个人只能注册唯一一个实名DID，重点是可以匿名使用保护个人隐私，同时可以绑定多个Web3域名当做身份证和钱包使用。</w:t>
      </w:r>
    </w:p>
    <w:p w14:paraId="28250520">
      <w:pPr>
        <w:rPr>
          <w:rFonts w:hint="eastAsia"/>
          <w:lang w:val="en-US" w:eastAsia="zh-CN"/>
        </w:rPr>
      </w:pPr>
    </w:p>
    <w:p w14:paraId="0079CD69">
      <w:r>
        <w:drawing>
          <wp:inline distT="0" distB="0" distL="114300" distR="114300">
            <wp:extent cx="5271770" cy="156337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770" cy="1563370"/>
                    </a:xfrm>
                    <a:prstGeom prst="rect">
                      <a:avLst/>
                    </a:prstGeom>
                    <a:noFill/>
                    <a:ln>
                      <a:noFill/>
                    </a:ln>
                  </pic:spPr>
                </pic:pic>
              </a:graphicData>
            </a:graphic>
          </wp:inline>
        </w:drawing>
      </w:r>
    </w:p>
    <w:p w14:paraId="4D65198C">
      <w:r>
        <w:drawing>
          <wp:inline distT="0" distB="0" distL="114300" distR="114300">
            <wp:extent cx="5264785" cy="1715770"/>
            <wp:effectExtent l="0" t="0" r="825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4785" cy="1715770"/>
                    </a:xfrm>
                    <a:prstGeom prst="rect">
                      <a:avLst/>
                    </a:prstGeom>
                    <a:noFill/>
                    <a:ln>
                      <a:noFill/>
                    </a:ln>
                  </pic:spPr>
                </pic:pic>
              </a:graphicData>
            </a:graphic>
          </wp:inline>
        </w:drawing>
      </w:r>
    </w:p>
    <w:p w14:paraId="6AC85F69"/>
    <w:p w14:paraId="606C31BB"/>
    <w:p w14:paraId="115FE561"/>
    <w:p w14:paraId="38B8ADCD"/>
    <w:p w14:paraId="009C9CC7"/>
    <w:p w14:paraId="2B04FE6D"/>
    <w:p w14:paraId="4EC21D75"/>
    <w:p w14:paraId="10391F70"/>
    <w:p w14:paraId="781EA660"/>
    <w:p w14:paraId="03A68A5F"/>
    <w:p w14:paraId="0675ADF6"/>
    <w:p w14:paraId="5307E0D3">
      <w:pPr>
        <w:rPr>
          <w:rFonts w:hint="eastAsia"/>
          <w:lang w:val="en-US" w:eastAsia="zh-CN"/>
        </w:rPr>
      </w:pPr>
    </w:p>
    <w:p w14:paraId="450DBE2A">
      <w:pPr>
        <w:jc w:val="center"/>
        <w:rPr>
          <w:rFonts w:hint="eastAsia"/>
          <w:b/>
          <w:bCs/>
          <w:sz w:val="48"/>
          <w:szCs w:val="56"/>
          <w:lang w:val="en-US" w:eastAsia="zh-CN"/>
        </w:rPr>
      </w:pPr>
      <w:r>
        <w:rPr>
          <w:rFonts w:hint="eastAsia"/>
          <w:b/>
          <w:bCs/>
          <w:sz w:val="48"/>
          <w:szCs w:val="56"/>
          <w:lang w:val="en-US" w:eastAsia="zh-CN"/>
        </w:rPr>
        <w:t>全网分布式域名</w:t>
      </w:r>
    </w:p>
    <w:p w14:paraId="445DF7D6">
      <w:pPr>
        <w:ind w:firstLine="420" w:firstLineChars="200"/>
        <w:rPr>
          <w:rFonts w:hint="default"/>
          <w:lang w:val="en-US" w:eastAsia="zh-CN"/>
        </w:rPr>
      </w:pPr>
      <w:r>
        <w:rPr>
          <w:rFonts w:hint="eastAsia"/>
          <w:lang w:val="en-US" w:eastAsia="zh-CN"/>
        </w:rPr>
        <w:t>全网分布式域名</w:t>
      </w:r>
      <w:r>
        <w:rPr>
          <w:rFonts w:hint="default"/>
          <w:lang w:val="en-US" w:eastAsia="zh-CN"/>
        </w:rPr>
        <w:t>又称</w:t>
      </w:r>
      <w:r>
        <w:rPr>
          <w:rFonts w:hint="eastAsia"/>
          <w:lang w:val="en-US" w:eastAsia="zh-CN"/>
        </w:rPr>
        <w:t>“</w:t>
      </w:r>
      <w:r>
        <w:rPr>
          <w:rFonts w:hint="default"/>
          <w:lang w:val="en-US" w:eastAsia="zh-CN"/>
        </w:rPr>
        <w:t>Web3域名</w:t>
      </w:r>
      <w:r>
        <w:rPr>
          <w:rFonts w:hint="eastAsia"/>
          <w:lang w:val="en-US" w:eastAsia="zh-CN"/>
        </w:rPr>
        <w:t>”</w:t>
      </w:r>
      <w:r>
        <w:rPr>
          <w:rFonts w:hint="default"/>
          <w:lang w:val="en-US" w:eastAsia="zh-CN"/>
        </w:rPr>
        <w:t>，旨在建立一套能够打通全球所有分布式和区块链网络环境、公认并且是唯一的分布式域名服务体系以及相关标准。</w:t>
      </w:r>
    </w:p>
    <w:p w14:paraId="67F1847F">
      <w:pPr>
        <w:ind w:firstLine="420" w:firstLineChars="200"/>
        <w:rPr>
          <w:rFonts w:hint="default"/>
          <w:lang w:val="en-US" w:eastAsia="zh-CN"/>
        </w:rPr>
      </w:pPr>
      <w:bookmarkStart w:id="0" w:name="_GoBack"/>
      <w:r>
        <w:rPr>
          <w:rFonts w:hint="default"/>
          <w:lang w:val="en-US" w:eastAsia="zh-CN"/>
        </w:rPr>
        <w:t>类似于互联网域名服务，全网分布式域名服务帮助使用者将多个链上的合约地址、链账户地址、钱包地址以及 DID 标识与同一个分布式域名进行关联配置。</w:t>
      </w:r>
    </w:p>
    <w:p w14:paraId="75B1074B">
      <w:pPr>
        <w:ind w:firstLine="420" w:firstLineChars="200"/>
        <w:rPr>
          <w:rFonts w:hint="default"/>
          <w:lang w:val="en-US" w:eastAsia="zh-CN"/>
        </w:rPr>
      </w:pPr>
      <w:r>
        <w:rPr>
          <w:rFonts w:hint="default"/>
          <w:lang w:val="en-US" w:eastAsia="zh-CN"/>
        </w:rPr>
        <w:t>全网分布式域名可以在任何公有链、联盟链和私有链等各种区块链环境中进行部署，是基于BSN延安链官方应用服务之一，也是目前国内最权威最广泛的Web3域名体系。</w:t>
      </w:r>
    </w:p>
    <w:p w14:paraId="30B3F516">
      <w:pPr>
        <w:ind w:firstLine="420" w:firstLineChars="200"/>
        <w:rPr>
          <w:rFonts w:hint="default"/>
          <w:lang w:val="en-US" w:eastAsia="zh-CN"/>
        </w:rPr>
      </w:pPr>
      <w:r>
        <w:rPr>
          <w:rFonts w:hint="default"/>
          <w:lang w:val="en-US" w:eastAsia="zh-CN"/>
        </w:rPr>
        <w:t>全网分布式域名服务以域名为纽带，实现链账户、钱包、合约和DID文件的寻址和互通，真正打通各种区块链环境下的链上数据、资产和身份。</w:t>
      </w:r>
    </w:p>
    <w:bookmarkEnd w:id="0"/>
    <w:p w14:paraId="6C556B08">
      <w:pPr>
        <w:ind w:firstLine="420" w:firstLineChars="200"/>
        <w:rPr>
          <w:rFonts w:hint="default"/>
          <w:lang w:val="en-US" w:eastAsia="zh-CN"/>
        </w:rPr>
      </w:pPr>
      <w:r>
        <w:rPr>
          <w:rFonts w:hint="default"/>
          <w:lang w:val="en-US" w:eastAsia="zh-CN"/>
        </w:rPr>
        <w:t>目前推出的8个延安链官方应用和未来其他应用场景均会使用分布式域名。就像互联网域名一样，分布式域名将在web3时代发挥出将互联网公共层连接在一起的关键作用。BSN发展联盟将和所有合作方一起，致力于将全网分布式域名发展成中国乃至全世界的web3域名标准。</w:t>
      </w:r>
    </w:p>
    <w:p w14:paraId="39FE838E">
      <w:pPr>
        <w:ind w:firstLine="420" w:firstLineChars="200"/>
        <w:rPr>
          <w:rFonts w:hint="eastAsia"/>
          <w:lang w:val="en-US" w:eastAsia="zh-CN"/>
        </w:rPr>
      </w:pPr>
      <w:r>
        <w:rPr>
          <w:rFonts w:hint="eastAsia"/>
          <w:lang w:val="en-US" w:eastAsia="zh-CN"/>
        </w:rPr>
        <w:t>一个DID上可以绑定多个Web3域名，可随时解绑，Web3域名除了本身可以像钱包一样使用，更因为Web3域名具有稀缺性，所有具有很高的商业价值。</w:t>
      </w:r>
    </w:p>
    <w:p w14:paraId="265C45C3">
      <w:pPr>
        <w:ind w:firstLine="420" w:firstLineChars="200"/>
        <w:rPr>
          <w:rFonts w:hint="default"/>
          <w:lang w:val="en-US" w:eastAsia="zh-CN"/>
        </w:rPr>
      </w:pPr>
    </w:p>
    <w:p w14:paraId="5B480B79">
      <w:pPr>
        <w:rPr>
          <w:rFonts w:hint="default"/>
          <w:lang w:val="en-US" w:eastAsia="zh-CN"/>
        </w:rPr>
      </w:pPr>
      <w:r>
        <w:drawing>
          <wp:inline distT="0" distB="0" distL="114300" distR="114300">
            <wp:extent cx="5264785" cy="1749425"/>
            <wp:effectExtent l="0" t="0" r="825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785" cy="1749425"/>
                    </a:xfrm>
                    <a:prstGeom prst="rect">
                      <a:avLst/>
                    </a:prstGeom>
                    <a:noFill/>
                    <a:ln>
                      <a:noFill/>
                    </a:ln>
                  </pic:spPr>
                </pic:pic>
              </a:graphicData>
            </a:graphic>
          </wp:inline>
        </w:drawing>
      </w:r>
      <w:r>
        <w:drawing>
          <wp:inline distT="0" distB="0" distL="114300" distR="114300">
            <wp:extent cx="5273675" cy="1862455"/>
            <wp:effectExtent l="0" t="0" r="1460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675" cy="1862455"/>
                    </a:xfrm>
                    <a:prstGeom prst="rect">
                      <a:avLst/>
                    </a:prstGeom>
                    <a:noFill/>
                    <a:ln>
                      <a:noFill/>
                    </a:ln>
                  </pic:spPr>
                </pic:pic>
              </a:graphicData>
            </a:graphic>
          </wp:inline>
        </w:drawing>
      </w:r>
    </w:p>
    <w:p w14:paraId="47368A71">
      <w:pPr>
        <w:rPr>
          <w:rFonts w:hint="default"/>
          <w:lang w:val="en-US" w:eastAsia="zh-CN"/>
        </w:rPr>
      </w:pPr>
    </w:p>
    <w:p w14:paraId="1DB4A0D7">
      <w:pPr>
        <w:rPr>
          <w:rFonts w:hint="default"/>
          <w:lang w:val="en-US" w:eastAsia="zh-CN"/>
        </w:rPr>
      </w:pPr>
    </w:p>
    <w:p w14:paraId="48E0F4A7">
      <w:pPr>
        <w:rPr>
          <w:rFonts w:hint="default"/>
          <w:lang w:val="en-US" w:eastAsia="zh-CN"/>
        </w:rPr>
      </w:pPr>
    </w:p>
    <w:p w14:paraId="4BEA92D6">
      <w:pPr>
        <w:rPr>
          <w:rFonts w:hint="default"/>
          <w:lang w:val="en-US" w:eastAsia="zh-CN"/>
        </w:rPr>
      </w:pPr>
    </w:p>
    <w:p w14:paraId="4B3C88EE">
      <w:pPr>
        <w:rPr>
          <w:rFonts w:hint="default"/>
          <w:lang w:val="en-US" w:eastAsia="zh-CN"/>
        </w:rPr>
      </w:pPr>
    </w:p>
    <w:p w14:paraId="2D0A5D68">
      <w:pPr>
        <w:rPr>
          <w:rFonts w:hint="default"/>
          <w:lang w:val="en-US" w:eastAsia="zh-CN"/>
        </w:rPr>
      </w:pPr>
    </w:p>
    <w:p w14:paraId="66F997DC">
      <w:pPr>
        <w:rPr>
          <w:rFonts w:hint="default"/>
          <w:lang w:val="en-US" w:eastAsia="zh-CN"/>
        </w:rPr>
      </w:pPr>
    </w:p>
    <w:p w14:paraId="572BE4E2">
      <w:pPr>
        <w:rPr>
          <w:rFonts w:hint="default"/>
          <w:lang w:val="en-US" w:eastAsia="zh-CN"/>
        </w:rPr>
      </w:pPr>
    </w:p>
    <w:p w14:paraId="6CA977E6">
      <w:pPr>
        <w:jc w:val="center"/>
        <w:rPr>
          <w:rFonts w:hint="eastAsia"/>
          <w:b/>
          <w:bCs/>
          <w:sz w:val="44"/>
          <w:szCs w:val="52"/>
          <w:lang w:val="en-US" w:eastAsia="zh-CN"/>
        </w:rPr>
      </w:pPr>
      <w:r>
        <w:rPr>
          <w:rFonts w:hint="eastAsia"/>
          <w:b/>
          <w:bCs/>
          <w:sz w:val="44"/>
          <w:szCs w:val="52"/>
          <w:lang w:val="en-US" w:eastAsia="zh-CN"/>
        </w:rPr>
        <w:t>派对科技</w:t>
      </w:r>
    </w:p>
    <w:p w14:paraId="50D46D7D">
      <w:pPr>
        <w:rPr>
          <w:rFonts w:hint="default"/>
          <w:lang w:val="en-US" w:eastAsia="zh-CN"/>
        </w:rPr>
      </w:pPr>
      <w:r>
        <w:rPr>
          <w:rFonts w:hint="eastAsia"/>
          <w:lang w:val="en-US" w:eastAsia="zh-CN"/>
        </w:rPr>
        <w:t xml:space="preserve">   海南派对科技有限公司，是一家注册在海南的数字经济基础设施科技公司，致力于数字经济和区块链行业，从事区块链元宇宙领域和中国Web3环境推动，并获得国家BSN发展联盟延安链上运行的实名DID和全网分布式域名的全球经销权，派对科技专属的派对DID APP，在全国各地都有区域运营中心，和BSN发展联盟、BSN延安链、界外科技一起推动中国Web3的发展和标准的建立。</w:t>
      </w:r>
    </w:p>
    <w:p w14:paraId="25A9C6CA">
      <w:pPr>
        <w:rPr>
          <w:rFonts w:hint="eastAsia"/>
          <w:lang w:val="en-US" w:eastAsia="zh-CN"/>
        </w:rPr>
      </w:pPr>
    </w:p>
    <w:p w14:paraId="0AA0B21A">
      <w:pPr>
        <w:rPr>
          <w:rFonts w:hint="eastAsia"/>
          <w:lang w:val="en-US" w:eastAsia="zh-CN"/>
        </w:rPr>
      </w:pPr>
    </w:p>
    <w:p w14:paraId="475C5DCA">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lMTIzYTQxYjc0Mjk3NDRkZGMzMjY0M2E5MDc3NjgifQ=="/>
  </w:docVars>
  <w:rsids>
    <w:rsidRoot w:val="00000000"/>
    <w:rsid w:val="01CC1DFA"/>
    <w:rsid w:val="058C49F2"/>
    <w:rsid w:val="54F00716"/>
    <w:rsid w:val="7CA34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2069</Words>
  <Characters>2257</Characters>
  <Lines>0</Lines>
  <Paragraphs>0</Paragraphs>
  <TotalTime>0</TotalTime>
  <ScaleCrop>false</ScaleCrop>
  <LinksUpToDate>false</LinksUpToDate>
  <CharactersWithSpaces>2279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2024-09-25T07:36:00Z</dcterms:created>
  <dc:creator>young</dc:creator>
  <cp:lastModifiedBy>耿先生</cp:lastModifiedBy>
  <dcterms:modified xsi:type="dcterms:W3CDTF">2024-09-25T10:07:27Z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90293B3DBF764B6AB93A398DB190D360_12</vt:lpwstr>
  </property>
</Properties>
</file>